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A7C805">
      <w:pPr>
        <w:pStyle w:val="3"/>
        <w:bidi w:val="0"/>
        <w:rPr>
          <w:rFonts w:hint="eastAsia"/>
          <w:lang w:val="en-US" w:eastAsia="zh-CN"/>
        </w:rPr>
      </w:pPr>
      <w:r>
        <w:rPr>
          <w:rFonts w:hint="eastAsia"/>
          <w:lang w:val="en-US" w:eastAsia="zh-CN"/>
        </w:rPr>
        <w:t>附件</w:t>
      </w:r>
      <w:r>
        <w:rPr>
          <w:rFonts w:hint="eastAsia"/>
          <w:i/>
          <w:iCs/>
          <w:lang w:val="en-US" w:eastAsia="zh-CN"/>
        </w:rPr>
        <w:t>：</w:t>
      </w:r>
    </w:p>
    <w:p w14:paraId="640BA311">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一、保险说明</w:t>
      </w:r>
    </w:p>
    <w:p w14:paraId="61535DDB">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保险标的信息</w:t>
      </w:r>
    </w:p>
    <w:tbl>
      <w:tblPr>
        <w:tblStyle w:val="8"/>
        <w:tblW w:w="10155" w:type="dxa"/>
        <w:tblInd w:w="-5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239"/>
        <w:gridCol w:w="2894"/>
        <w:gridCol w:w="4022"/>
      </w:tblGrid>
      <w:tr w14:paraId="34969D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101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1FE7A6">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b/>
                <w:bCs/>
                <w:sz w:val="32"/>
                <w:szCs w:val="32"/>
                <w:lang w:val="en-US" w:eastAsia="zh-CN"/>
              </w:rPr>
            </w:pPr>
            <w:r>
              <w:rPr>
                <w:rFonts w:hint="eastAsia" w:ascii="仿宋" w:hAnsi="仿宋" w:eastAsia="仿宋" w:cs="仿宋"/>
                <w:b/>
                <w:bCs/>
                <w:spacing w:val="4"/>
                <w:kern w:val="0"/>
                <w:sz w:val="32"/>
                <w:szCs w:val="32"/>
                <w:fitText w:val="9600" w:id="594358277"/>
                <w:lang w:val="en-US" w:eastAsia="zh-CN"/>
              </w:rPr>
              <w:t>（一）2026年度开化县国控工程管理有限公司农民工工资保证保</w:t>
            </w:r>
            <w:r>
              <w:rPr>
                <w:rFonts w:hint="eastAsia" w:ascii="仿宋" w:hAnsi="仿宋" w:eastAsia="仿宋" w:cs="仿宋"/>
                <w:b/>
                <w:bCs/>
                <w:spacing w:val="7"/>
                <w:kern w:val="0"/>
                <w:sz w:val="32"/>
                <w:szCs w:val="32"/>
                <w:fitText w:val="9600" w:id="594358277"/>
                <w:lang w:val="en-US" w:eastAsia="zh-CN"/>
              </w:rPr>
              <w:t>险</w:t>
            </w:r>
          </w:p>
          <w:p w14:paraId="2A508558">
            <w:pPr>
              <w:keepNext w:val="0"/>
              <w:keepLines w:val="0"/>
              <w:pageBreakBefore w:val="0"/>
              <w:widowControl/>
              <w:numPr>
                <w:ilvl w:val="0"/>
                <w:numId w:val="1"/>
              </w:numPr>
              <w:kinsoku/>
              <w:wordWrap/>
              <w:overflowPunct/>
              <w:topLinePunct w:val="0"/>
              <w:autoSpaceDE/>
              <w:autoSpaceDN/>
              <w:bidi w:val="0"/>
              <w:adjustRightInd/>
              <w:snapToGrid/>
              <w:spacing w:line="600" w:lineRule="exact"/>
              <w:ind w:left="420" w:leftChars="0" w:hanging="420" w:firstLineChars="0"/>
              <w:jc w:val="left"/>
              <w:textAlignment w:val="auto"/>
              <w:rPr>
                <w:rFonts w:hint="default" w:ascii="仿宋" w:hAnsi="仿宋" w:eastAsia="仿宋" w:cs="仿宋"/>
                <w:sz w:val="32"/>
                <w:szCs w:val="32"/>
                <w:lang w:val="en-US" w:eastAsia="zh-CN"/>
              </w:rPr>
            </w:pPr>
            <w:r>
              <w:rPr>
                <w:rFonts w:hint="eastAsia" w:ascii="仿宋" w:hAnsi="仿宋" w:eastAsia="仿宋" w:cs="仿宋"/>
                <w:sz w:val="24"/>
                <w:szCs w:val="24"/>
                <w:lang w:val="en-US" w:eastAsia="zh-CN"/>
              </w:rPr>
              <w:t>符合《衢州市建设工程绿色保险实施办法》（衢住建〔2019〕135号）文件第四条第4款、第八条、第三十条关于建筑业企业人工工资支付保证保险的相关要求，用于保证承包人按规定支付建筑劳务人员或施工从业人员工资的保险，视同已缴纳各类相应的保证金，各担保受益人不得拒绝或限制使用。。</w:t>
            </w:r>
          </w:p>
        </w:tc>
      </w:tr>
      <w:tr w14:paraId="3EAD80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101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82D315">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工程名称：</w:t>
            </w:r>
            <w:r>
              <w:rPr>
                <w:rFonts w:hint="eastAsia" w:ascii="仿宋" w:hAnsi="仿宋" w:eastAsia="仿宋" w:cs="仿宋"/>
                <w:b/>
                <w:bCs/>
                <w:sz w:val="32"/>
                <w:szCs w:val="32"/>
                <w:lang w:val="en-US" w:eastAsia="zh-CN"/>
              </w:rPr>
              <w:t>开化县人民医院紧密型医共体医疗卫生强基工程建设项目工程总承包(EPC)（工程期限：400日历天，已剔除30天设计工期）</w:t>
            </w:r>
          </w:p>
        </w:tc>
      </w:tr>
      <w:tr w14:paraId="338F9B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101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CCC977">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工程中标价：</w:t>
            </w:r>
            <w:r>
              <w:rPr>
                <w:rFonts w:hint="eastAsia" w:ascii="宋体" w:hAnsi="宋体" w:cs="宋体"/>
                <w:b/>
                <w:bCs/>
                <w:sz w:val="32"/>
                <w:szCs w:val="32"/>
                <w:lang w:val="en-US" w:eastAsia="zh-CN"/>
              </w:rPr>
              <w:t>43774783.84.00</w:t>
            </w:r>
            <w:r>
              <w:rPr>
                <w:rFonts w:hint="eastAsia" w:ascii="仿宋" w:hAnsi="仿宋" w:eastAsia="仿宋" w:cs="仿宋"/>
                <w:sz w:val="32"/>
                <w:szCs w:val="32"/>
                <w:lang w:val="en-US" w:eastAsia="zh-CN"/>
              </w:rPr>
              <w:t>元（已剔除设计费50万元）</w:t>
            </w:r>
          </w:p>
        </w:tc>
      </w:tr>
      <w:tr w14:paraId="15293C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 w:hRule="atLeast"/>
        </w:trPr>
        <w:tc>
          <w:tcPr>
            <w:tcW w:w="323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B8A6F">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保险标的项目</w:t>
            </w:r>
          </w:p>
        </w:tc>
        <w:tc>
          <w:tcPr>
            <w:tcW w:w="289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4FF00">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保险金额</w:t>
            </w:r>
          </w:p>
        </w:tc>
        <w:tc>
          <w:tcPr>
            <w:tcW w:w="402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3533B">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备注</w:t>
            </w:r>
          </w:p>
        </w:tc>
      </w:tr>
      <w:tr w14:paraId="1DD461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 w:hRule="atLeast"/>
        </w:trPr>
        <w:tc>
          <w:tcPr>
            <w:tcW w:w="323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EBD31">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p>
        </w:tc>
        <w:tc>
          <w:tcPr>
            <w:tcW w:w="2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4B805">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p>
        </w:tc>
        <w:tc>
          <w:tcPr>
            <w:tcW w:w="402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4FC85">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p>
        </w:tc>
      </w:tr>
      <w:tr w14:paraId="559964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 w:hRule="atLeast"/>
        </w:trPr>
        <w:tc>
          <w:tcPr>
            <w:tcW w:w="323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1056F">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p>
        </w:tc>
        <w:tc>
          <w:tcPr>
            <w:tcW w:w="2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C6950">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p>
        </w:tc>
        <w:tc>
          <w:tcPr>
            <w:tcW w:w="402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C906B">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p>
        </w:tc>
      </w:tr>
      <w:tr w14:paraId="76DDEB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 w:hRule="atLeast"/>
        </w:trPr>
        <w:tc>
          <w:tcPr>
            <w:tcW w:w="323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4CAC7">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p>
        </w:tc>
        <w:tc>
          <w:tcPr>
            <w:tcW w:w="2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60BFD">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p>
        </w:tc>
        <w:tc>
          <w:tcPr>
            <w:tcW w:w="402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6D1AD">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p>
        </w:tc>
      </w:tr>
      <w:tr w14:paraId="70B41C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 w:hRule="atLeast"/>
        </w:trPr>
        <w:tc>
          <w:tcPr>
            <w:tcW w:w="323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D82F4">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p>
        </w:tc>
        <w:tc>
          <w:tcPr>
            <w:tcW w:w="2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38815">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p>
        </w:tc>
        <w:tc>
          <w:tcPr>
            <w:tcW w:w="402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12F61">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p>
        </w:tc>
      </w:tr>
      <w:tr w14:paraId="4E6A11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 w:hRule="atLeast"/>
        </w:trPr>
        <w:tc>
          <w:tcPr>
            <w:tcW w:w="323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AC8B6">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p>
        </w:tc>
        <w:tc>
          <w:tcPr>
            <w:tcW w:w="2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E4E21">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p>
        </w:tc>
        <w:tc>
          <w:tcPr>
            <w:tcW w:w="402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030A9">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p>
        </w:tc>
      </w:tr>
      <w:tr w14:paraId="19F1C1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 w:hRule="atLeast"/>
        </w:trPr>
        <w:tc>
          <w:tcPr>
            <w:tcW w:w="323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C91EF">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农民工工资保证保险（保函）</w:t>
            </w:r>
          </w:p>
        </w:tc>
        <w:tc>
          <w:tcPr>
            <w:tcW w:w="289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46879">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218873.92元</w:t>
            </w:r>
          </w:p>
        </w:tc>
        <w:tc>
          <w:tcPr>
            <w:tcW w:w="402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B05EC1">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保险期限=工期400天+180天=580天</w:t>
            </w:r>
          </w:p>
        </w:tc>
      </w:tr>
      <w:tr w14:paraId="1967CA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 w:hRule="atLeast"/>
        </w:trPr>
        <w:tc>
          <w:tcPr>
            <w:tcW w:w="323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F0755">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c>
          <w:tcPr>
            <w:tcW w:w="2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B6EF1">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c>
          <w:tcPr>
            <w:tcW w:w="40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B17B96">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r>
      <w:tr w14:paraId="3ABE27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 w:hRule="atLeast"/>
        </w:trPr>
        <w:tc>
          <w:tcPr>
            <w:tcW w:w="323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58B64">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c>
          <w:tcPr>
            <w:tcW w:w="2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71202">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c>
          <w:tcPr>
            <w:tcW w:w="40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C0E290">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r>
      <w:tr w14:paraId="6B4D84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 w:hRule="atLeast"/>
        </w:trPr>
        <w:tc>
          <w:tcPr>
            <w:tcW w:w="323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C2E1E">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c>
          <w:tcPr>
            <w:tcW w:w="2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0746F">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c>
          <w:tcPr>
            <w:tcW w:w="40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0B5215">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r>
      <w:tr w14:paraId="3F4E92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 w:hRule="atLeast"/>
        </w:trPr>
        <w:tc>
          <w:tcPr>
            <w:tcW w:w="323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25B51">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c>
          <w:tcPr>
            <w:tcW w:w="2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6A710">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c>
          <w:tcPr>
            <w:tcW w:w="40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9ED348">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r>
      <w:tr w14:paraId="194D17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 w:hRule="atLeast"/>
        </w:trPr>
        <w:tc>
          <w:tcPr>
            <w:tcW w:w="323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B8B6B">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c>
          <w:tcPr>
            <w:tcW w:w="2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30148">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c>
          <w:tcPr>
            <w:tcW w:w="40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850458">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r>
      <w:tr w14:paraId="3B56EB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 w:hRule="atLeast"/>
        </w:trPr>
        <w:tc>
          <w:tcPr>
            <w:tcW w:w="323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9F07E">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c>
          <w:tcPr>
            <w:tcW w:w="2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017E3">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c>
          <w:tcPr>
            <w:tcW w:w="40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988C51">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r>
      <w:tr w14:paraId="0580C7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 w:hRule="atLeast"/>
        </w:trPr>
        <w:tc>
          <w:tcPr>
            <w:tcW w:w="323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83479">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c>
          <w:tcPr>
            <w:tcW w:w="2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69E42">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c>
          <w:tcPr>
            <w:tcW w:w="40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BE5172">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r>
      <w:tr w14:paraId="1B2F9F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 w:hRule="atLeast"/>
        </w:trPr>
        <w:tc>
          <w:tcPr>
            <w:tcW w:w="323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42F4F">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c>
          <w:tcPr>
            <w:tcW w:w="2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41C63">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c>
          <w:tcPr>
            <w:tcW w:w="40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89BDB4">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r>
      <w:tr w14:paraId="00476D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239"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D6870C8">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c>
          <w:tcPr>
            <w:tcW w:w="2894"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36FDDD3">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c>
          <w:tcPr>
            <w:tcW w:w="4022"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2634B70">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r>
      <w:tr w14:paraId="51A1B4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239"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3BC40F9">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c>
          <w:tcPr>
            <w:tcW w:w="2894"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CCABF6A">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c>
          <w:tcPr>
            <w:tcW w:w="4022"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F144FAE">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r>
      <w:tr w14:paraId="0D0F9E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239"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71B3C81">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c>
          <w:tcPr>
            <w:tcW w:w="2894"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1DB0B05">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c>
          <w:tcPr>
            <w:tcW w:w="4022"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366B594">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r>
      <w:tr w14:paraId="699C67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239"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381255E">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c>
          <w:tcPr>
            <w:tcW w:w="2894"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28DAC1A">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c>
          <w:tcPr>
            <w:tcW w:w="4022"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FFA2CFB">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r>
    </w:tbl>
    <w:p w14:paraId="5C3FF09C">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p w14:paraId="38E99AF2">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br w:type="page"/>
      </w:r>
    </w:p>
    <w:p w14:paraId="6B161ED7">
      <w:pPr>
        <w:pStyle w:val="2"/>
        <w:spacing w:before="0" w:after="0" w:line="240" w:lineRule="auto"/>
        <w:rPr>
          <w:rFonts w:hint="eastAsia"/>
          <w:lang w:val="en-US" w:eastAsia="zh-CN"/>
        </w:rPr>
      </w:pPr>
    </w:p>
    <w:tbl>
      <w:tblPr>
        <w:tblStyle w:val="8"/>
        <w:tblW w:w="931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096"/>
        <w:gridCol w:w="2894"/>
        <w:gridCol w:w="3325"/>
      </w:tblGrid>
      <w:tr w14:paraId="44C7E3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93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CBDA53">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（二）2026年度开化县国控工程管理有限公司完工履约保证保险</w:t>
            </w:r>
          </w:p>
          <w:p w14:paraId="2227437B">
            <w:pPr>
              <w:keepNext w:val="0"/>
              <w:keepLines w:val="0"/>
              <w:widowControl/>
              <w:suppressLineNumbers w:val="0"/>
              <w:ind w:firstLine="560" w:firstLineChars="200"/>
              <w:jc w:val="left"/>
              <w:rPr>
                <w:rFonts w:hint="default" w:ascii="仿宋" w:hAnsi="仿宋" w:eastAsia="仿宋" w:cs="仿宋"/>
                <w:sz w:val="32"/>
                <w:szCs w:val="32"/>
                <w:lang w:val="en-US" w:eastAsia="zh-CN"/>
              </w:rPr>
            </w:pPr>
            <w:r>
              <w:rPr>
                <w:rFonts w:hint="eastAsia" w:ascii="宋体" w:hAnsi="宋体" w:eastAsia="宋体" w:cs="宋体"/>
                <w:color w:val="000000"/>
                <w:kern w:val="0"/>
                <w:sz w:val="28"/>
                <w:szCs w:val="28"/>
                <w:lang w:val="en-US" w:eastAsia="zh-CN" w:bidi="ar"/>
              </w:rPr>
              <w:t>履约担保的金额：投标人提交的履约担保金额为中标价的2%（不计利息），保险保单有效期限不宜少于中标项目的合同期限的1.2倍。</w:t>
            </w:r>
          </w:p>
        </w:tc>
      </w:tr>
      <w:tr w14:paraId="05940C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93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878463">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工程名称：</w:t>
            </w:r>
            <w:r>
              <w:rPr>
                <w:rFonts w:hint="eastAsia" w:ascii="仿宋" w:hAnsi="仿宋" w:eastAsia="仿宋" w:cs="仿宋"/>
                <w:b/>
                <w:bCs/>
                <w:sz w:val="32"/>
                <w:szCs w:val="32"/>
                <w:lang w:val="en-US" w:eastAsia="zh-CN"/>
              </w:rPr>
              <w:t>开化县人民医院紧密型医共体医疗卫生强基工程建设项目工程总承包(EPC)（工程期限：400天，已剔除30天设计工期）</w:t>
            </w:r>
          </w:p>
        </w:tc>
      </w:tr>
      <w:tr w14:paraId="282FC1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93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48AFA8">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工程中标价：</w:t>
            </w:r>
            <w:r>
              <w:rPr>
                <w:rFonts w:hint="eastAsia" w:ascii="宋体" w:hAnsi="宋体" w:cs="宋体"/>
                <w:b/>
                <w:bCs/>
                <w:sz w:val="32"/>
                <w:szCs w:val="32"/>
                <w:lang w:val="en-US" w:eastAsia="zh-CN"/>
              </w:rPr>
              <w:t>43774783.84</w:t>
            </w:r>
            <w:r>
              <w:rPr>
                <w:rFonts w:hint="eastAsia" w:ascii="仿宋" w:hAnsi="仿宋" w:eastAsia="仿宋" w:cs="仿宋"/>
                <w:sz w:val="32"/>
                <w:szCs w:val="32"/>
                <w:lang w:val="en-US" w:eastAsia="zh-CN"/>
              </w:rPr>
              <w:t>元（已剔除设计费50万元）</w:t>
            </w:r>
          </w:p>
        </w:tc>
      </w:tr>
      <w:tr w14:paraId="4B8BE0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 w:hRule="atLeast"/>
        </w:trPr>
        <w:tc>
          <w:tcPr>
            <w:tcW w:w="30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47F8E">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保险标的项目</w:t>
            </w:r>
          </w:p>
        </w:tc>
        <w:tc>
          <w:tcPr>
            <w:tcW w:w="289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6AB7F">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保险金额</w:t>
            </w:r>
          </w:p>
        </w:tc>
        <w:tc>
          <w:tcPr>
            <w:tcW w:w="332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98E52">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备注</w:t>
            </w:r>
          </w:p>
        </w:tc>
      </w:tr>
      <w:tr w14:paraId="59B732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 w:hRule="atLeast"/>
        </w:trPr>
        <w:tc>
          <w:tcPr>
            <w:tcW w:w="30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86447">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p>
        </w:tc>
        <w:tc>
          <w:tcPr>
            <w:tcW w:w="2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DF9CB">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p>
        </w:tc>
        <w:tc>
          <w:tcPr>
            <w:tcW w:w="332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2A701">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p>
        </w:tc>
      </w:tr>
      <w:tr w14:paraId="461E8E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 w:hRule="atLeast"/>
        </w:trPr>
        <w:tc>
          <w:tcPr>
            <w:tcW w:w="30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6A174">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p>
        </w:tc>
        <w:tc>
          <w:tcPr>
            <w:tcW w:w="2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626BF">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p>
        </w:tc>
        <w:tc>
          <w:tcPr>
            <w:tcW w:w="332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6655C">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p>
        </w:tc>
      </w:tr>
      <w:tr w14:paraId="768676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 w:hRule="atLeast"/>
        </w:trPr>
        <w:tc>
          <w:tcPr>
            <w:tcW w:w="30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735C5">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p>
        </w:tc>
        <w:tc>
          <w:tcPr>
            <w:tcW w:w="2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FFDBE">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p>
        </w:tc>
        <w:tc>
          <w:tcPr>
            <w:tcW w:w="332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6BCEB">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p>
        </w:tc>
      </w:tr>
      <w:tr w14:paraId="647C2D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 w:hRule="atLeast"/>
        </w:trPr>
        <w:tc>
          <w:tcPr>
            <w:tcW w:w="30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27651">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p>
        </w:tc>
        <w:tc>
          <w:tcPr>
            <w:tcW w:w="2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347C3">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p>
        </w:tc>
        <w:tc>
          <w:tcPr>
            <w:tcW w:w="332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74F43">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p>
        </w:tc>
      </w:tr>
      <w:tr w14:paraId="5292DA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 w:hRule="atLeast"/>
        </w:trPr>
        <w:tc>
          <w:tcPr>
            <w:tcW w:w="30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B1A55">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p>
        </w:tc>
        <w:tc>
          <w:tcPr>
            <w:tcW w:w="2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8AE13">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p>
        </w:tc>
        <w:tc>
          <w:tcPr>
            <w:tcW w:w="332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F3890">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p>
        </w:tc>
      </w:tr>
      <w:tr w14:paraId="35E52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 w:hRule="atLeast"/>
        </w:trPr>
        <w:tc>
          <w:tcPr>
            <w:tcW w:w="30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BEA2E">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农民工工资保证保险（保函）</w:t>
            </w:r>
          </w:p>
        </w:tc>
        <w:tc>
          <w:tcPr>
            <w:tcW w:w="289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FEB5F">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875495.68元</w:t>
            </w:r>
          </w:p>
        </w:tc>
        <w:tc>
          <w:tcPr>
            <w:tcW w:w="33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9EC28E">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保险期限=工期400天*1.2倍=480天</w:t>
            </w:r>
          </w:p>
        </w:tc>
      </w:tr>
      <w:tr w14:paraId="338965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 w:hRule="atLeast"/>
        </w:trPr>
        <w:tc>
          <w:tcPr>
            <w:tcW w:w="30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F644D">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c>
          <w:tcPr>
            <w:tcW w:w="2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CCAF2">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c>
          <w:tcPr>
            <w:tcW w:w="33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E7C8">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r>
      <w:tr w14:paraId="20C4A0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 w:hRule="atLeast"/>
        </w:trPr>
        <w:tc>
          <w:tcPr>
            <w:tcW w:w="30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E874A">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c>
          <w:tcPr>
            <w:tcW w:w="2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2500E">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c>
          <w:tcPr>
            <w:tcW w:w="33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568976">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r>
      <w:tr w14:paraId="66AFA1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 w:hRule="atLeast"/>
        </w:trPr>
        <w:tc>
          <w:tcPr>
            <w:tcW w:w="30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46198">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c>
          <w:tcPr>
            <w:tcW w:w="2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24FCD">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c>
          <w:tcPr>
            <w:tcW w:w="33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824A02">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r>
      <w:tr w14:paraId="23E130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 w:hRule="atLeast"/>
        </w:trPr>
        <w:tc>
          <w:tcPr>
            <w:tcW w:w="30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73F69">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c>
          <w:tcPr>
            <w:tcW w:w="2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89686">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c>
          <w:tcPr>
            <w:tcW w:w="33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4B09B5">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r>
      <w:tr w14:paraId="50AB29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 w:hRule="atLeast"/>
        </w:trPr>
        <w:tc>
          <w:tcPr>
            <w:tcW w:w="30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086BB">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c>
          <w:tcPr>
            <w:tcW w:w="2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FF941">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c>
          <w:tcPr>
            <w:tcW w:w="33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511B19">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r>
      <w:tr w14:paraId="5CCEB8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 w:hRule="atLeast"/>
        </w:trPr>
        <w:tc>
          <w:tcPr>
            <w:tcW w:w="30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41AEF">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c>
          <w:tcPr>
            <w:tcW w:w="2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E77DA">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c>
          <w:tcPr>
            <w:tcW w:w="33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CAFAE5">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r>
      <w:tr w14:paraId="2F5F77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 w:hRule="atLeast"/>
        </w:trPr>
        <w:tc>
          <w:tcPr>
            <w:tcW w:w="30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7825B">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c>
          <w:tcPr>
            <w:tcW w:w="2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BE0B9">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c>
          <w:tcPr>
            <w:tcW w:w="33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C962E7">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r>
      <w:tr w14:paraId="60D430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 w:hRule="atLeast"/>
        </w:trPr>
        <w:tc>
          <w:tcPr>
            <w:tcW w:w="30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F46C9">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c>
          <w:tcPr>
            <w:tcW w:w="2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7E7F1">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c>
          <w:tcPr>
            <w:tcW w:w="33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DE51D4">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r>
      <w:tr w14:paraId="1D04E5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09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88C84CC">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c>
          <w:tcPr>
            <w:tcW w:w="2894"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4F54133">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c>
          <w:tcPr>
            <w:tcW w:w="332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C1C235D">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r>
      <w:tr w14:paraId="7B947B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09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16A0000">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c>
          <w:tcPr>
            <w:tcW w:w="2894"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5A52582">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c>
          <w:tcPr>
            <w:tcW w:w="332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548C621">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r>
      <w:tr w14:paraId="31DAA0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09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012D36B">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c>
          <w:tcPr>
            <w:tcW w:w="2894"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54B66F4">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c>
          <w:tcPr>
            <w:tcW w:w="332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7E6D826">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r>
      <w:tr w14:paraId="3F84DA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09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14140AF">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c>
          <w:tcPr>
            <w:tcW w:w="2894"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748DE6E">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c>
          <w:tcPr>
            <w:tcW w:w="332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AFD4F2F">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r>
    </w:tbl>
    <w:p w14:paraId="646A198D">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br w:type="page"/>
      </w:r>
    </w:p>
    <w:tbl>
      <w:tblPr>
        <w:tblStyle w:val="9"/>
        <w:tblpPr w:leftFromText="180" w:rightFromText="180" w:vertAnchor="text" w:horzAnchor="page" w:tblpX="1309" w:tblpY="16"/>
        <w:tblOverlap w:val="never"/>
        <w:tblW w:w="103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79"/>
        <w:gridCol w:w="2972"/>
        <w:gridCol w:w="1958"/>
        <w:gridCol w:w="3311"/>
      </w:tblGrid>
      <w:tr w14:paraId="60E12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62" w:hRule="atLeast"/>
        </w:trPr>
        <w:tc>
          <w:tcPr>
            <w:tcW w:w="10320" w:type="dxa"/>
            <w:gridSpan w:val="4"/>
            <w:vAlign w:val="center"/>
          </w:tcPr>
          <w:p w14:paraId="7D71AD3A">
            <w:pPr>
              <w:keepNext w:val="0"/>
              <w:keepLines w:val="0"/>
              <w:pageBreakBefore w:val="0"/>
              <w:widowControl/>
              <w:numPr>
                <w:ilvl w:val="0"/>
                <w:numId w:val="0"/>
              </w:numPr>
              <w:kinsoku/>
              <w:wordWrap/>
              <w:overflowPunct/>
              <w:topLinePunct w:val="0"/>
              <w:autoSpaceDE/>
              <w:autoSpaceDN/>
              <w:bidi w:val="0"/>
              <w:adjustRightInd/>
              <w:snapToGrid/>
              <w:spacing w:line="600" w:lineRule="exact"/>
              <w:textAlignment w:val="auto"/>
              <w:rPr>
                <w:rFonts w:hint="eastAsia" w:ascii="仿宋" w:hAnsi="仿宋" w:eastAsia="仿宋" w:cs="仿宋"/>
                <w:sz w:val="32"/>
                <w:szCs w:val="32"/>
                <w:lang w:val="en-US" w:eastAsia="zh-CN"/>
              </w:rPr>
            </w:pPr>
            <w:r>
              <w:rPr>
                <w:rFonts w:hint="eastAsia" w:ascii="仿宋" w:hAnsi="仿宋" w:eastAsia="仿宋" w:cs="仿宋"/>
                <w:b/>
                <w:bCs/>
                <w:spacing w:val="0"/>
                <w:w w:val="96"/>
                <w:kern w:val="0"/>
                <w:sz w:val="32"/>
                <w:szCs w:val="32"/>
                <w:fitText w:val="9920" w:id="230958048"/>
                <w:lang w:val="en-US" w:eastAsia="zh-CN"/>
              </w:rPr>
              <w:t>（三）2026年度开化县国控工程管理有限公司建筑工程安全生产责任保</w:t>
            </w:r>
            <w:r>
              <w:rPr>
                <w:rFonts w:hint="eastAsia" w:ascii="仿宋" w:hAnsi="仿宋" w:eastAsia="仿宋" w:cs="仿宋"/>
                <w:b/>
                <w:bCs/>
                <w:spacing w:val="-14"/>
                <w:w w:val="96"/>
                <w:kern w:val="0"/>
                <w:sz w:val="32"/>
                <w:szCs w:val="32"/>
                <w:fitText w:val="9920" w:id="230958048"/>
                <w:lang w:val="en-US" w:eastAsia="zh-CN"/>
              </w:rPr>
              <w:t>险</w:t>
            </w:r>
          </w:p>
        </w:tc>
      </w:tr>
      <w:tr w14:paraId="505C1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62" w:hRule="atLeast"/>
        </w:trPr>
        <w:tc>
          <w:tcPr>
            <w:tcW w:w="10320" w:type="dxa"/>
            <w:gridSpan w:val="4"/>
            <w:vAlign w:val="center"/>
          </w:tcPr>
          <w:p w14:paraId="1796525F">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工程名称：</w:t>
            </w:r>
            <w:r>
              <w:rPr>
                <w:rFonts w:hint="eastAsia" w:ascii="仿宋" w:hAnsi="仿宋" w:eastAsia="仿宋" w:cs="仿宋"/>
                <w:b/>
                <w:bCs/>
                <w:sz w:val="32"/>
                <w:szCs w:val="32"/>
                <w:lang w:val="en-US" w:eastAsia="zh-CN"/>
              </w:rPr>
              <w:t>开化县人民医院紧密型医共体医疗卫生强基工程建设项目工程总承包(EPC)</w:t>
            </w:r>
          </w:p>
        </w:tc>
      </w:tr>
      <w:tr w14:paraId="20E5B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62" w:hRule="atLeast"/>
        </w:trPr>
        <w:tc>
          <w:tcPr>
            <w:tcW w:w="10320" w:type="dxa"/>
            <w:gridSpan w:val="4"/>
            <w:vAlign w:val="center"/>
          </w:tcPr>
          <w:p w14:paraId="519D42D5">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center"/>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工程中标价：</w:t>
            </w:r>
            <w:r>
              <w:rPr>
                <w:rFonts w:hint="eastAsia" w:ascii="宋体" w:hAnsi="宋体" w:cs="宋体"/>
                <w:b/>
                <w:bCs/>
                <w:sz w:val="32"/>
                <w:szCs w:val="32"/>
                <w:lang w:val="en-US" w:eastAsia="zh-CN"/>
              </w:rPr>
              <w:t>43774783.84</w:t>
            </w:r>
            <w:r>
              <w:rPr>
                <w:rFonts w:hint="eastAsia" w:ascii="仿宋" w:hAnsi="仿宋" w:eastAsia="仿宋" w:cs="仿宋"/>
                <w:sz w:val="32"/>
                <w:szCs w:val="32"/>
                <w:lang w:val="en-US" w:eastAsia="zh-CN"/>
              </w:rPr>
              <w:t>元（</w:t>
            </w:r>
            <w:r>
              <w:rPr>
                <w:rFonts w:hint="eastAsia" w:ascii="仿宋" w:hAnsi="仿宋" w:eastAsia="仿宋" w:cs="仿宋"/>
                <w:b/>
                <w:bCs/>
                <w:sz w:val="32"/>
                <w:szCs w:val="32"/>
                <w:lang w:val="en-US" w:eastAsia="zh-CN"/>
              </w:rPr>
              <w:t>已剔除设计费50万元</w:t>
            </w:r>
            <w:r>
              <w:rPr>
                <w:rFonts w:hint="eastAsia" w:ascii="仿宋" w:hAnsi="仿宋" w:eastAsia="仿宋" w:cs="仿宋"/>
                <w:sz w:val="32"/>
                <w:szCs w:val="32"/>
                <w:lang w:val="en-US" w:eastAsia="zh-CN"/>
              </w:rPr>
              <w:t>）</w:t>
            </w:r>
          </w:p>
        </w:tc>
      </w:tr>
      <w:tr w14:paraId="76091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62" w:hRule="atLeast"/>
        </w:trPr>
        <w:tc>
          <w:tcPr>
            <w:tcW w:w="2079" w:type="dxa"/>
            <w:vAlign w:val="center"/>
          </w:tcPr>
          <w:p w14:paraId="0A482A88">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保险标的项目</w:t>
            </w:r>
          </w:p>
        </w:tc>
        <w:tc>
          <w:tcPr>
            <w:tcW w:w="2972" w:type="dxa"/>
            <w:vAlign w:val="center"/>
          </w:tcPr>
          <w:p w14:paraId="6623F8BB">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分项限额</w:t>
            </w:r>
          </w:p>
        </w:tc>
        <w:tc>
          <w:tcPr>
            <w:tcW w:w="1958" w:type="dxa"/>
            <w:vAlign w:val="center"/>
          </w:tcPr>
          <w:p w14:paraId="45F7FD2B">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保险金额</w:t>
            </w:r>
          </w:p>
        </w:tc>
        <w:tc>
          <w:tcPr>
            <w:tcW w:w="3311" w:type="dxa"/>
            <w:vAlign w:val="center"/>
          </w:tcPr>
          <w:p w14:paraId="01F50409">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免赔条件</w:t>
            </w:r>
          </w:p>
        </w:tc>
      </w:tr>
      <w:tr w14:paraId="6549E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2079" w:type="dxa"/>
            <w:vMerge w:val="restart"/>
            <w:vAlign w:val="center"/>
          </w:tcPr>
          <w:p w14:paraId="0F8D9861">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从业人员</w:t>
            </w:r>
          </w:p>
        </w:tc>
        <w:tc>
          <w:tcPr>
            <w:tcW w:w="2972" w:type="dxa"/>
            <w:vAlign w:val="center"/>
          </w:tcPr>
          <w:p w14:paraId="7F37CFE3">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累计责任限额</w:t>
            </w:r>
          </w:p>
        </w:tc>
        <w:tc>
          <w:tcPr>
            <w:tcW w:w="1958" w:type="dxa"/>
            <w:vAlign w:val="center"/>
          </w:tcPr>
          <w:p w14:paraId="7E367091">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1000万元</w:t>
            </w:r>
          </w:p>
        </w:tc>
        <w:tc>
          <w:tcPr>
            <w:tcW w:w="3311" w:type="dxa"/>
            <w:vMerge w:val="restart"/>
            <w:vAlign w:val="center"/>
          </w:tcPr>
          <w:p w14:paraId="282257BA">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每次事故每人医疗费用责任限额免赔500元或损失金额的15%，两者以高者为准。</w:t>
            </w:r>
          </w:p>
        </w:tc>
      </w:tr>
      <w:tr w14:paraId="46F09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trPr>
        <w:tc>
          <w:tcPr>
            <w:tcW w:w="2079" w:type="dxa"/>
            <w:vMerge w:val="continue"/>
            <w:vAlign w:val="center"/>
          </w:tcPr>
          <w:p w14:paraId="7191CB05">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center"/>
              <w:textAlignment w:val="auto"/>
              <w:rPr>
                <w:rFonts w:hint="eastAsia" w:ascii="仿宋" w:hAnsi="仿宋" w:eastAsia="仿宋" w:cs="仿宋"/>
                <w:sz w:val="32"/>
                <w:szCs w:val="32"/>
                <w:lang w:val="en-US" w:eastAsia="zh-CN"/>
              </w:rPr>
            </w:pPr>
          </w:p>
        </w:tc>
        <w:tc>
          <w:tcPr>
            <w:tcW w:w="2972" w:type="dxa"/>
            <w:vAlign w:val="center"/>
          </w:tcPr>
          <w:p w14:paraId="17A97D9B">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每次事故责任限额</w:t>
            </w:r>
          </w:p>
        </w:tc>
        <w:tc>
          <w:tcPr>
            <w:tcW w:w="1958" w:type="dxa"/>
            <w:vAlign w:val="center"/>
          </w:tcPr>
          <w:p w14:paraId="3B8CE53E">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200万元</w:t>
            </w:r>
          </w:p>
        </w:tc>
        <w:tc>
          <w:tcPr>
            <w:tcW w:w="3311" w:type="dxa"/>
            <w:vMerge w:val="continue"/>
            <w:vAlign w:val="center"/>
          </w:tcPr>
          <w:p w14:paraId="1D7A554A">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center"/>
              <w:textAlignment w:val="auto"/>
              <w:rPr>
                <w:rFonts w:hint="default" w:ascii="仿宋" w:hAnsi="仿宋" w:eastAsia="仿宋" w:cs="仿宋"/>
                <w:sz w:val="32"/>
                <w:szCs w:val="32"/>
                <w:lang w:val="en-US" w:eastAsia="zh-CN"/>
              </w:rPr>
            </w:pPr>
          </w:p>
        </w:tc>
      </w:tr>
      <w:tr w14:paraId="36814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trPr>
        <w:tc>
          <w:tcPr>
            <w:tcW w:w="2079" w:type="dxa"/>
            <w:vMerge w:val="continue"/>
            <w:vAlign w:val="center"/>
          </w:tcPr>
          <w:p w14:paraId="7BB1B987">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center"/>
              <w:textAlignment w:val="auto"/>
              <w:rPr>
                <w:rFonts w:hint="eastAsia" w:ascii="仿宋" w:hAnsi="仿宋" w:eastAsia="仿宋" w:cs="仿宋"/>
                <w:sz w:val="32"/>
                <w:szCs w:val="32"/>
                <w:lang w:val="en-US" w:eastAsia="zh-CN"/>
              </w:rPr>
            </w:pPr>
          </w:p>
        </w:tc>
        <w:tc>
          <w:tcPr>
            <w:tcW w:w="2972" w:type="dxa"/>
            <w:vAlign w:val="center"/>
          </w:tcPr>
          <w:p w14:paraId="7D40C767">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每次事故每人责任限额</w:t>
            </w:r>
          </w:p>
        </w:tc>
        <w:tc>
          <w:tcPr>
            <w:tcW w:w="1958" w:type="dxa"/>
            <w:vAlign w:val="center"/>
          </w:tcPr>
          <w:p w14:paraId="00F1CE44">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55万元</w:t>
            </w:r>
          </w:p>
        </w:tc>
        <w:tc>
          <w:tcPr>
            <w:tcW w:w="3311" w:type="dxa"/>
            <w:vMerge w:val="continue"/>
            <w:vAlign w:val="center"/>
          </w:tcPr>
          <w:p w14:paraId="578C8279">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center"/>
              <w:textAlignment w:val="auto"/>
              <w:rPr>
                <w:rFonts w:hint="default" w:ascii="仿宋" w:hAnsi="仿宋" w:eastAsia="仿宋" w:cs="仿宋"/>
                <w:sz w:val="32"/>
                <w:szCs w:val="32"/>
                <w:lang w:val="en-US" w:eastAsia="zh-CN"/>
              </w:rPr>
            </w:pPr>
          </w:p>
        </w:tc>
      </w:tr>
      <w:tr w14:paraId="6EF35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trPr>
        <w:tc>
          <w:tcPr>
            <w:tcW w:w="2079" w:type="dxa"/>
            <w:vMerge w:val="continue"/>
            <w:vAlign w:val="center"/>
          </w:tcPr>
          <w:p w14:paraId="1B5260FB">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center"/>
              <w:textAlignment w:val="auto"/>
              <w:rPr>
                <w:rFonts w:hint="eastAsia" w:ascii="仿宋" w:hAnsi="仿宋" w:eastAsia="仿宋" w:cs="仿宋"/>
                <w:sz w:val="32"/>
                <w:szCs w:val="32"/>
                <w:lang w:val="en-US" w:eastAsia="zh-CN"/>
              </w:rPr>
            </w:pPr>
          </w:p>
        </w:tc>
        <w:tc>
          <w:tcPr>
            <w:tcW w:w="2972" w:type="dxa"/>
            <w:vAlign w:val="center"/>
          </w:tcPr>
          <w:p w14:paraId="6C1C42B8">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其中每次事故每人伤亡责任限额</w:t>
            </w:r>
          </w:p>
        </w:tc>
        <w:tc>
          <w:tcPr>
            <w:tcW w:w="1958" w:type="dxa"/>
            <w:vAlign w:val="center"/>
          </w:tcPr>
          <w:p w14:paraId="06674FA8">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50万元</w:t>
            </w:r>
          </w:p>
        </w:tc>
        <w:tc>
          <w:tcPr>
            <w:tcW w:w="3311" w:type="dxa"/>
            <w:vMerge w:val="continue"/>
            <w:vAlign w:val="center"/>
          </w:tcPr>
          <w:p w14:paraId="43B4C0BC">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center"/>
              <w:textAlignment w:val="auto"/>
              <w:rPr>
                <w:rFonts w:hint="default" w:ascii="仿宋" w:hAnsi="仿宋" w:eastAsia="仿宋" w:cs="仿宋"/>
                <w:sz w:val="32"/>
                <w:szCs w:val="32"/>
                <w:lang w:val="en-US" w:eastAsia="zh-CN"/>
              </w:rPr>
            </w:pPr>
          </w:p>
        </w:tc>
      </w:tr>
      <w:tr w14:paraId="2F784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trPr>
        <w:tc>
          <w:tcPr>
            <w:tcW w:w="2079" w:type="dxa"/>
            <w:vMerge w:val="continue"/>
            <w:vAlign w:val="center"/>
          </w:tcPr>
          <w:p w14:paraId="1E3B792C">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center"/>
              <w:textAlignment w:val="auto"/>
              <w:rPr>
                <w:rFonts w:hint="eastAsia" w:ascii="仿宋" w:hAnsi="仿宋" w:eastAsia="仿宋" w:cs="仿宋"/>
                <w:sz w:val="32"/>
                <w:szCs w:val="32"/>
                <w:lang w:val="en-US" w:eastAsia="zh-CN"/>
              </w:rPr>
            </w:pPr>
          </w:p>
        </w:tc>
        <w:tc>
          <w:tcPr>
            <w:tcW w:w="2972" w:type="dxa"/>
            <w:vAlign w:val="center"/>
          </w:tcPr>
          <w:p w14:paraId="7D19311E">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其中每次事故每人医疗费用责任限额</w:t>
            </w:r>
          </w:p>
        </w:tc>
        <w:tc>
          <w:tcPr>
            <w:tcW w:w="1958" w:type="dxa"/>
            <w:vAlign w:val="center"/>
          </w:tcPr>
          <w:p w14:paraId="05604F65">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5万元</w:t>
            </w:r>
          </w:p>
        </w:tc>
        <w:tc>
          <w:tcPr>
            <w:tcW w:w="3311" w:type="dxa"/>
            <w:vMerge w:val="continue"/>
            <w:vAlign w:val="center"/>
          </w:tcPr>
          <w:p w14:paraId="2323128F">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center"/>
              <w:textAlignment w:val="auto"/>
              <w:rPr>
                <w:rFonts w:hint="default" w:ascii="仿宋" w:hAnsi="仿宋" w:eastAsia="仿宋" w:cs="仿宋"/>
                <w:sz w:val="32"/>
                <w:szCs w:val="32"/>
                <w:lang w:val="en-US" w:eastAsia="zh-CN"/>
              </w:rPr>
            </w:pPr>
          </w:p>
        </w:tc>
      </w:tr>
      <w:tr w14:paraId="12F7D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trPr>
        <w:tc>
          <w:tcPr>
            <w:tcW w:w="2079" w:type="dxa"/>
            <w:vMerge w:val="restart"/>
            <w:vAlign w:val="center"/>
          </w:tcPr>
          <w:p w14:paraId="709F43E3">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第三者责任</w:t>
            </w:r>
          </w:p>
        </w:tc>
        <w:tc>
          <w:tcPr>
            <w:tcW w:w="2972" w:type="dxa"/>
            <w:vAlign w:val="center"/>
          </w:tcPr>
          <w:p w14:paraId="0910879B">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累计责任限额</w:t>
            </w:r>
          </w:p>
        </w:tc>
        <w:tc>
          <w:tcPr>
            <w:tcW w:w="1958" w:type="dxa"/>
            <w:vAlign w:val="center"/>
          </w:tcPr>
          <w:p w14:paraId="6CB8EF2F">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500万元</w:t>
            </w:r>
          </w:p>
        </w:tc>
        <w:tc>
          <w:tcPr>
            <w:tcW w:w="3311" w:type="dxa"/>
            <w:vMerge w:val="restart"/>
            <w:vAlign w:val="center"/>
          </w:tcPr>
          <w:p w14:paraId="0302C875">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每次事故每人医疗费用责任限额免赔500元或损失金额的15%，两者以高者为准。</w:t>
            </w:r>
          </w:p>
        </w:tc>
      </w:tr>
      <w:tr w14:paraId="63AF3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trPr>
        <w:tc>
          <w:tcPr>
            <w:tcW w:w="2079" w:type="dxa"/>
            <w:vMerge w:val="continue"/>
            <w:vAlign w:val="center"/>
          </w:tcPr>
          <w:p w14:paraId="61695177">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center"/>
              <w:textAlignment w:val="auto"/>
              <w:rPr>
                <w:rFonts w:hint="eastAsia" w:ascii="仿宋" w:hAnsi="仿宋" w:eastAsia="仿宋" w:cs="仿宋"/>
                <w:sz w:val="32"/>
                <w:szCs w:val="32"/>
                <w:lang w:val="en-US" w:eastAsia="zh-CN"/>
              </w:rPr>
            </w:pPr>
          </w:p>
        </w:tc>
        <w:tc>
          <w:tcPr>
            <w:tcW w:w="2972" w:type="dxa"/>
            <w:vAlign w:val="center"/>
          </w:tcPr>
          <w:p w14:paraId="7E285460">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每次事故责任限额</w:t>
            </w:r>
          </w:p>
        </w:tc>
        <w:tc>
          <w:tcPr>
            <w:tcW w:w="1958" w:type="dxa"/>
            <w:vAlign w:val="center"/>
          </w:tcPr>
          <w:p w14:paraId="323C92FB">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100万元</w:t>
            </w:r>
          </w:p>
        </w:tc>
        <w:tc>
          <w:tcPr>
            <w:tcW w:w="3311" w:type="dxa"/>
            <w:vMerge w:val="continue"/>
            <w:vAlign w:val="center"/>
          </w:tcPr>
          <w:p w14:paraId="043FD198">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center"/>
              <w:textAlignment w:val="auto"/>
              <w:rPr>
                <w:rFonts w:hint="eastAsia" w:ascii="仿宋" w:hAnsi="仿宋" w:eastAsia="仿宋" w:cs="仿宋"/>
                <w:sz w:val="32"/>
                <w:szCs w:val="32"/>
                <w:lang w:val="en-US" w:eastAsia="zh-CN"/>
              </w:rPr>
            </w:pPr>
          </w:p>
        </w:tc>
      </w:tr>
      <w:tr w14:paraId="1EDCD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trPr>
        <w:tc>
          <w:tcPr>
            <w:tcW w:w="2079" w:type="dxa"/>
            <w:vMerge w:val="continue"/>
            <w:vAlign w:val="center"/>
          </w:tcPr>
          <w:p w14:paraId="059E152B">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center"/>
              <w:textAlignment w:val="auto"/>
              <w:rPr>
                <w:rFonts w:hint="eastAsia" w:ascii="仿宋" w:hAnsi="仿宋" w:eastAsia="仿宋" w:cs="仿宋"/>
                <w:sz w:val="32"/>
                <w:szCs w:val="32"/>
                <w:lang w:val="en-US" w:eastAsia="zh-CN"/>
              </w:rPr>
            </w:pPr>
          </w:p>
        </w:tc>
        <w:tc>
          <w:tcPr>
            <w:tcW w:w="2972" w:type="dxa"/>
            <w:vAlign w:val="center"/>
          </w:tcPr>
          <w:p w14:paraId="534526F3">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每次事故每人责任限额</w:t>
            </w:r>
          </w:p>
        </w:tc>
        <w:tc>
          <w:tcPr>
            <w:tcW w:w="1958" w:type="dxa"/>
            <w:vAlign w:val="center"/>
          </w:tcPr>
          <w:p w14:paraId="62C2A7F0">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55万元</w:t>
            </w:r>
          </w:p>
        </w:tc>
        <w:tc>
          <w:tcPr>
            <w:tcW w:w="3311" w:type="dxa"/>
            <w:vMerge w:val="continue"/>
            <w:vAlign w:val="center"/>
          </w:tcPr>
          <w:p w14:paraId="3742F305">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center"/>
              <w:textAlignment w:val="auto"/>
              <w:rPr>
                <w:rFonts w:hint="eastAsia" w:ascii="仿宋" w:hAnsi="仿宋" w:eastAsia="仿宋" w:cs="仿宋"/>
                <w:sz w:val="32"/>
                <w:szCs w:val="32"/>
                <w:lang w:val="en-US" w:eastAsia="zh-CN"/>
              </w:rPr>
            </w:pPr>
          </w:p>
        </w:tc>
      </w:tr>
      <w:tr w14:paraId="1B029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trPr>
        <w:tc>
          <w:tcPr>
            <w:tcW w:w="2079" w:type="dxa"/>
            <w:vMerge w:val="continue"/>
            <w:vAlign w:val="center"/>
          </w:tcPr>
          <w:p w14:paraId="6EB334F6">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center"/>
              <w:textAlignment w:val="auto"/>
              <w:rPr>
                <w:rFonts w:hint="eastAsia" w:ascii="仿宋" w:hAnsi="仿宋" w:eastAsia="仿宋" w:cs="仿宋"/>
                <w:sz w:val="32"/>
                <w:szCs w:val="32"/>
                <w:lang w:val="en-US" w:eastAsia="zh-CN"/>
              </w:rPr>
            </w:pPr>
          </w:p>
        </w:tc>
        <w:tc>
          <w:tcPr>
            <w:tcW w:w="2972" w:type="dxa"/>
            <w:vAlign w:val="center"/>
          </w:tcPr>
          <w:p w14:paraId="452E5EF8">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其中每次事故每人伤亡责任限额</w:t>
            </w:r>
          </w:p>
        </w:tc>
        <w:tc>
          <w:tcPr>
            <w:tcW w:w="1958" w:type="dxa"/>
            <w:vAlign w:val="center"/>
          </w:tcPr>
          <w:p w14:paraId="0B380CCD">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50万元</w:t>
            </w:r>
          </w:p>
        </w:tc>
        <w:tc>
          <w:tcPr>
            <w:tcW w:w="3311" w:type="dxa"/>
            <w:vMerge w:val="continue"/>
            <w:vAlign w:val="center"/>
          </w:tcPr>
          <w:p w14:paraId="4C320829">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center"/>
              <w:textAlignment w:val="auto"/>
              <w:rPr>
                <w:rFonts w:hint="eastAsia" w:ascii="仿宋" w:hAnsi="仿宋" w:eastAsia="仿宋" w:cs="仿宋"/>
                <w:sz w:val="32"/>
                <w:szCs w:val="32"/>
                <w:lang w:val="en-US" w:eastAsia="zh-CN"/>
              </w:rPr>
            </w:pPr>
          </w:p>
        </w:tc>
      </w:tr>
      <w:tr w14:paraId="02F15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trPr>
        <w:tc>
          <w:tcPr>
            <w:tcW w:w="2079" w:type="dxa"/>
            <w:vMerge w:val="continue"/>
            <w:vAlign w:val="center"/>
          </w:tcPr>
          <w:p w14:paraId="3E4904C7">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center"/>
              <w:textAlignment w:val="auto"/>
              <w:rPr>
                <w:rFonts w:hint="eastAsia" w:ascii="仿宋" w:hAnsi="仿宋" w:eastAsia="仿宋" w:cs="仿宋"/>
                <w:sz w:val="32"/>
                <w:szCs w:val="32"/>
                <w:lang w:val="en-US" w:eastAsia="zh-CN"/>
              </w:rPr>
            </w:pPr>
          </w:p>
        </w:tc>
        <w:tc>
          <w:tcPr>
            <w:tcW w:w="2972" w:type="dxa"/>
            <w:vAlign w:val="center"/>
          </w:tcPr>
          <w:p w14:paraId="642EE50A">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其中每次事故每人医疗费用责任限额</w:t>
            </w:r>
          </w:p>
        </w:tc>
        <w:tc>
          <w:tcPr>
            <w:tcW w:w="1958" w:type="dxa"/>
            <w:vAlign w:val="center"/>
          </w:tcPr>
          <w:p w14:paraId="7B1B2C8E">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5万元</w:t>
            </w:r>
          </w:p>
        </w:tc>
        <w:tc>
          <w:tcPr>
            <w:tcW w:w="3311" w:type="dxa"/>
            <w:vMerge w:val="continue"/>
            <w:vAlign w:val="center"/>
          </w:tcPr>
          <w:p w14:paraId="187A0293">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center"/>
              <w:textAlignment w:val="auto"/>
              <w:rPr>
                <w:rFonts w:hint="eastAsia" w:ascii="仿宋" w:hAnsi="仿宋" w:eastAsia="仿宋" w:cs="仿宋"/>
                <w:sz w:val="32"/>
                <w:szCs w:val="32"/>
                <w:lang w:val="en-US" w:eastAsia="zh-CN"/>
              </w:rPr>
            </w:pPr>
          </w:p>
        </w:tc>
      </w:tr>
      <w:tr w14:paraId="26A1F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trPr>
        <w:tc>
          <w:tcPr>
            <w:tcW w:w="2079" w:type="dxa"/>
            <w:vMerge w:val="restart"/>
            <w:vAlign w:val="center"/>
          </w:tcPr>
          <w:p w14:paraId="6E2F7237">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第三者财产损失</w:t>
            </w:r>
          </w:p>
        </w:tc>
        <w:tc>
          <w:tcPr>
            <w:tcW w:w="2972" w:type="dxa"/>
            <w:vAlign w:val="center"/>
          </w:tcPr>
          <w:p w14:paraId="5C53EBE8">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累计责任限额</w:t>
            </w:r>
          </w:p>
        </w:tc>
        <w:tc>
          <w:tcPr>
            <w:tcW w:w="1958" w:type="dxa"/>
            <w:vAlign w:val="center"/>
          </w:tcPr>
          <w:p w14:paraId="1A57FCF2">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200万元</w:t>
            </w:r>
          </w:p>
        </w:tc>
        <w:tc>
          <w:tcPr>
            <w:tcW w:w="3311" w:type="dxa"/>
            <w:vMerge w:val="restart"/>
            <w:vAlign w:val="center"/>
          </w:tcPr>
          <w:p w14:paraId="76791FE6">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每次事故财产损失免赔1000元或损失金额的10%，两者以高者为准。</w:t>
            </w:r>
          </w:p>
        </w:tc>
      </w:tr>
      <w:tr w14:paraId="1933E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trPr>
        <w:tc>
          <w:tcPr>
            <w:tcW w:w="2079" w:type="dxa"/>
            <w:vMerge w:val="continue"/>
            <w:vAlign w:val="center"/>
          </w:tcPr>
          <w:p w14:paraId="478DF5D6">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center"/>
              <w:textAlignment w:val="auto"/>
              <w:rPr>
                <w:rFonts w:hint="eastAsia" w:ascii="仿宋" w:hAnsi="仿宋" w:eastAsia="仿宋" w:cs="仿宋"/>
                <w:sz w:val="32"/>
                <w:szCs w:val="32"/>
                <w:lang w:val="en-US" w:eastAsia="zh-CN"/>
              </w:rPr>
            </w:pPr>
          </w:p>
        </w:tc>
        <w:tc>
          <w:tcPr>
            <w:tcW w:w="2972" w:type="dxa"/>
            <w:vAlign w:val="center"/>
          </w:tcPr>
          <w:p w14:paraId="3334DBAC">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每次事故责任限额</w:t>
            </w:r>
          </w:p>
        </w:tc>
        <w:tc>
          <w:tcPr>
            <w:tcW w:w="1958" w:type="dxa"/>
            <w:vAlign w:val="center"/>
          </w:tcPr>
          <w:p w14:paraId="4FC69A97">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100万元</w:t>
            </w:r>
          </w:p>
        </w:tc>
        <w:tc>
          <w:tcPr>
            <w:tcW w:w="3311" w:type="dxa"/>
            <w:vMerge w:val="continue"/>
            <w:vAlign w:val="center"/>
          </w:tcPr>
          <w:p w14:paraId="3563ADFF">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center"/>
              <w:textAlignment w:val="auto"/>
              <w:rPr>
                <w:rFonts w:hint="eastAsia" w:ascii="仿宋" w:hAnsi="仿宋" w:eastAsia="仿宋" w:cs="仿宋"/>
                <w:sz w:val="32"/>
                <w:szCs w:val="32"/>
                <w:lang w:val="en-US" w:eastAsia="zh-CN"/>
              </w:rPr>
            </w:pPr>
          </w:p>
        </w:tc>
      </w:tr>
      <w:tr w14:paraId="67F9F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trPr>
        <w:tc>
          <w:tcPr>
            <w:tcW w:w="2079" w:type="dxa"/>
            <w:vMerge w:val="restart"/>
            <w:vAlign w:val="center"/>
          </w:tcPr>
          <w:p w14:paraId="3315678D">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救援费用</w:t>
            </w:r>
          </w:p>
        </w:tc>
        <w:tc>
          <w:tcPr>
            <w:tcW w:w="2972" w:type="dxa"/>
            <w:vAlign w:val="center"/>
          </w:tcPr>
          <w:p w14:paraId="7AA52A57">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累计责任限额</w:t>
            </w:r>
          </w:p>
        </w:tc>
        <w:tc>
          <w:tcPr>
            <w:tcW w:w="1958" w:type="dxa"/>
            <w:vAlign w:val="center"/>
          </w:tcPr>
          <w:p w14:paraId="62351BD1">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100万元</w:t>
            </w:r>
          </w:p>
        </w:tc>
        <w:tc>
          <w:tcPr>
            <w:tcW w:w="3311" w:type="dxa"/>
            <w:vMerge w:val="restart"/>
            <w:vAlign w:val="center"/>
          </w:tcPr>
          <w:p w14:paraId="0CAF80DE">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每次救援费用免赔1000元或损失金额的10%，两者以高者为准。</w:t>
            </w:r>
          </w:p>
        </w:tc>
      </w:tr>
      <w:tr w14:paraId="30D7E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trPr>
        <w:tc>
          <w:tcPr>
            <w:tcW w:w="2079" w:type="dxa"/>
            <w:vMerge w:val="continue"/>
            <w:vAlign w:val="center"/>
          </w:tcPr>
          <w:p w14:paraId="11DF6861">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center"/>
              <w:textAlignment w:val="auto"/>
              <w:rPr>
                <w:rFonts w:hint="eastAsia" w:ascii="仿宋" w:hAnsi="仿宋" w:eastAsia="仿宋" w:cs="仿宋"/>
                <w:sz w:val="32"/>
                <w:szCs w:val="32"/>
                <w:lang w:val="en-US" w:eastAsia="zh-CN"/>
              </w:rPr>
            </w:pPr>
          </w:p>
        </w:tc>
        <w:tc>
          <w:tcPr>
            <w:tcW w:w="2972" w:type="dxa"/>
            <w:vAlign w:val="center"/>
          </w:tcPr>
          <w:p w14:paraId="4C64BA21">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每次事故责任限额</w:t>
            </w:r>
          </w:p>
        </w:tc>
        <w:tc>
          <w:tcPr>
            <w:tcW w:w="1958" w:type="dxa"/>
            <w:vAlign w:val="center"/>
          </w:tcPr>
          <w:p w14:paraId="75137BD5">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100万元</w:t>
            </w:r>
          </w:p>
        </w:tc>
        <w:tc>
          <w:tcPr>
            <w:tcW w:w="3311" w:type="dxa"/>
            <w:vMerge w:val="continue"/>
            <w:vAlign w:val="center"/>
          </w:tcPr>
          <w:p w14:paraId="6737009A">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center"/>
              <w:textAlignment w:val="auto"/>
              <w:rPr>
                <w:rFonts w:hint="eastAsia" w:ascii="仿宋" w:hAnsi="仿宋" w:eastAsia="仿宋" w:cs="仿宋"/>
                <w:sz w:val="32"/>
                <w:szCs w:val="32"/>
                <w:lang w:val="en-US" w:eastAsia="zh-CN"/>
              </w:rPr>
            </w:pPr>
          </w:p>
        </w:tc>
      </w:tr>
      <w:tr w14:paraId="69792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trPr>
        <w:tc>
          <w:tcPr>
            <w:tcW w:w="2079" w:type="dxa"/>
            <w:vMerge w:val="continue"/>
            <w:vAlign w:val="center"/>
          </w:tcPr>
          <w:p w14:paraId="711646A7">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center"/>
              <w:textAlignment w:val="auto"/>
              <w:rPr>
                <w:rFonts w:hint="eastAsia" w:ascii="仿宋" w:hAnsi="仿宋" w:eastAsia="仿宋" w:cs="仿宋"/>
                <w:sz w:val="32"/>
                <w:szCs w:val="32"/>
                <w:lang w:val="en-US" w:eastAsia="zh-CN"/>
              </w:rPr>
            </w:pPr>
          </w:p>
        </w:tc>
        <w:tc>
          <w:tcPr>
            <w:tcW w:w="2972" w:type="dxa"/>
            <w:vAlign w:val="center"/>
          </w:tcPr>
          <w:p w14:paraId="2FAEF71D">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每人责任限额</w:t>
            </w:r>
          </w:p>
        </w:tc>
        <w:tc>
          <w:tcPr>
            <w:tcW w:w="1958" w:type="dxa"/>
            <w:vAlign w:val="center"/>
          </w:tcPr>
          <w:p w14:paraId="514D8E94">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10万元</w:t>
            </w:r>
          </w:p>
        </w:tc>
        <w:tc>
          <w:tcPr>
            <w:tcW w:w="3311" w:type="dxa"/>
            <w:vMerge w:val="continue"/>
            <w:vAlign w:val="center"/>
          </w:tcPr>
          <w:p w14:paraId="5E3C71B1">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center"/>
              <w:textAlignment w:val="auto"/>
              <w:rPr>
                <w:rFonts w:hint="eastAsia" w:ascii="仿宋" w:hAnsi="仿宋" w:eastAsia="仿宋" w:cs="仿宋"/>
                <w:sz w:val="32"/>
                <w:szCs w:val="32"/>
                <w:lang w:val="en-US" w:eastAsia="zh-CN"/>
              </w:rPr>
            </w:pPr>
          </w:p>
        </w:tc>
      </w:tr>
      <w:tr w14:paraId="551AB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trPr>
        <w:tc>
          <w:tcPr>
            <w:tcW w:w="2079" w:type="dxa"/>
            <w:vMerge w:val="restart"/>
            <w:vAlign w:val="center"/>
          </w:tcPr>
          <w:p w14:paraId="6EAA4390">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误工费用</w:t>
            </w:r>
          </w:p>
        </w:tc>
        <w:tc>
          <w:tcPr>
            <w:tcW w:w="2972" w:type="dxa"/>
            <w:vAlign w:val="center"/>
          </w:tcPr>
          <w:p w14:paraId="20B34FBE">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每人误工费标准</w:t>
            </w:r>
          </w:p>
        </w:tc>
        <w:tc>
          <w:tcPr>
            <w:tcW w:w="1958" w:type="dxa"/>
            <w:vAlign w:val="center"/>
          </w:tcPr>
          <w:p w14:paraId="5B8818BC">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100元/天</w:t>
            </w:r>
          </w:p>
        </w:tc>
        <w:tc>
          <w:tcPr>
            <w:tcW w:w="3311" w:type="dxa"/>
            <w:vMerge w:val="restart"/>
            <w:vAlign w:val="center"/>
          </w:tcPr>
          <w:p w14:paraId="42801C9D">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center"/>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w:t>
            </w:r>
          </w:p>
        </w:tc>
      </w:tr>
      <w:tr w14:paraId="78942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trPr>
        <w:tc>
          <w:tcPr>
            <w:tcW w:w="2079" w:type="dxa"/>
            <w:vMerge w:val="continue"/>
            <w:vAlign w:val="center"/>
          </w:tcPr>
          <w:p w14:paraId="0F088E8F">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center"/>
              <w:textAlignment w:val="auto"/>
              <w:rPr>
                <w:rFonts w:hint="eastAsia" w:ascii="仿宋" w:hAnsi="仿宋" w:eastAsia="仿宋" w:cs="仿宋"/>
                <w:sz w:val="32"/>
                <w:szCs w:val="32"/>
                <w:lang w:val="en-US" w:eastAsia="zh-CN"/>
              </w:rPr>
            </w:pPr>
          </w:p>
        </w:tc>
        <w:tc>
          <w:tcPr>
            <w:tcW w:w="2972" w:type="dxa"/>
            <w:vAlign w:val="center"/>
          </w:tcPr>
          <w:p w14:paraId="7EBAFF36">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绝对免赔额</w:t>
            </w:r>
          </w:p>
        </w:tc>
        <w:tc>
          <w:tcPr>
            <w:tcW w:w="1958" w:type="dxa"/>
            <w:vAlign w:val="center"/>
          </w:tcPr>
          <w:p w14:paraId="63270837">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5天</w:t>
            </w:r>
          </w:p>
        </w:tc>
        <w:tc>
          <w:tcPr>
            <w:tcW w:w="3311" w:type="dxa"/>
            <w:vMerge w:val="continue"/>
            <w:vAlign w:val="center"/>
          </w:tcPr>
          <w:p w14:paraId="31739CC1">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center"/>
              <w:textAlignment w:val="auto"/>
              <w:rPr>
                <w:rFonts w:hint="eastAsia" w:ascii="仿宋" w:hAnsi="仿宋" w:eastAsia="仿宋" w:cs="仿宋"/>
                <w:sz w:val="32"/>
                <w:szCs w:val="32"/>
                <w:lang w:val="en-US" w:eastAsia="zh-CN"/>
              </w:rPr>
            </w:pPr>
          </w:p>
        </w:tc>
      </w:tr>
      <w:tr w14:paraId="07D54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trPr>
        <w:tc>
          <w:tcPr>
            <w:tcW w:w="2079" w:type="dxa"/>
            <w:vMerge w:val="continue"/>
            <w:vAlign w:val="center"/>
          </w:tcPr>
          <w:p w14:paraId="3FD3B28A">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center"/>
              <w:textAlignment w:val="auto"/>
              <w:rPr>
                <w:rFonts w:hint="eastAsia" w:ascii="仿宋" w:hAnsi="仿宋" w:eastAsia="仿宋" w:cs="仿宋"/>
                <w:sz w:val="32"/>
                <w:szCs w:val="32"/>
                <w:lang w:val="en-US" w:eastAsia="zh-CN"/>
              </w:rPr>
            </w:pPr>
          </w:p>
        </w:tc>
        <w:tc>
          <w:tcPr>
            <w:tcW w:w="2972" w:type="dxa"/>
            <w:vAlign w:val="center"/>
          </w:tcPr>
          <w:p w14:paraId="74957B31">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每次最高给付天数</w:t>
            </w:r>
          </w:p>
        </w:tc>
        <w:tc>
          <w:tcPr>
            <w:tcW w:w="1958" w:type="dxa"/>
            <w:vAlign w:val="center"/>
          </w:tcPr>
          <w:p w14:paraId="027E2EB6">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90天</w:t>
            </w:r>
          </w:p>
        </w:tc>
        <w:tc>
          <w:tcPr>
            <w:tcW w:w="3311" w:type="dxa"/>
            <w:vMerge w:val="continue"/>
            <w:vAlign w:val="center"/>
          </w:tcPr>
          <w:p w14:paraId="5F96EF4C">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center"/>
              <w:textAlignment w:val="auto"/>
              <w:rPr>
                <w:rFonts w:hint="eastAsia" w:ascii="仿宋" w:hAnsi="仿宋" w:eastAsia="仿宋" w:cs="仿宋"/>
                <w:sz w:val="32"/>
                <w:szCs w:val="32"/>
                <w:lang w:val="en-US" w:eastAsia="zh-CN"/>
              </w:rPr>
            </w:pPr>
          </w:p>
        </w:tc>
      </w:tr>
      <w:tr w14:paraId="23A98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trPr>
        <w:tc>
          <w:tcPr>
            <w:tcW w:w="2079" w:type="dxa"/>
            <w:vMerge w:val="continue"/>
            <w:vAlign w:val="center"/>
          </w:tcPr>
          <w:p w14:paraId="4EDECE36">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center"/>
              <w:textAlignment w:val="auto"/>
              <w:rPr>
                <w:rFonts w:hint="eastAsia" w:ascii="仿宋" w:hAnsi="仿宋" w:eastAsia="仿宋" w:cs="仿宋"/>
                <w:sz w:val="32"/>
                <w:szCs w:val="32"/>
                <w:lang w:val="en-US" w:eastAsia="zh-CN"/>
              </w:rPr>
            </w:pPr>
          </w:p>
        </w:tc>
        <w:tc>
          <w:tcPr>
            <w:tcW w:w="2972" w:type="dxa"/>
            <w:vAlign w:val="center"/>
          </w:tcPr>
          <w:p w14:paraId="4C978466">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最高给付天数</w:t>
            </w:r>
          </w:p>
        </w:tc>
        <w:tc>
          <w:tcPr>
            <w:tcW w:w="1958" w:type="dxa"/>
            <w:vAlign w:val="center"/>
          </w:tcPr>
          <w:p w14:paraId="43DB08D5">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180天</w:t>
            </w:r>
          </w:p>
        </w:tc>
        <w:tc>
          <w:tcPr>
            <w:tcW w:w="3311" w:type="dxa"/>
            <w:vMerge w:val="continue"/>
            <w:vAlign w:val="center"/>
          </w:tcPr>
          <w:p w14:paraId="1720176E">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center"/>
              <w:textAlignment w:val="auto"/>
              <w:rPr>
                <w:rFonts w:hint="eastAsia" w:ascii="仿宋" w:hAnsi="仿宋" w:eastAsia="仿宋" w:cs="仿宋"/>
                <w:sz w:val="32"/>
                <w:szCs w:val="32"/>
                <w:lang w:val="en-US" w:eastAsia="zh-CN"/>
              </w:rPr>
            </w:pPr>
          </w:p>
        </w:tc>
      </w:tr>
      <w:tr w14:paraId="18A49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trPr>
        <w:tc>
          <w:tcPr>
            <w:tcW w:w="2079" w:type="dxa"/>
            <w:vMerge w:val="restart"/>
            <w:vAlign w:val="center"/>
          </w:tcPr>
          <w:p w14:paraId="676A404E">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法律费用</w:t>
            </w:r>
          </w:p>
        </w:tc>
        <w:tc>
          <w:tcPr>
            <w:tcW w:w="2972" w:type="dxa"/>
            <w:vAlign w:val="center"/>
          </w:tcPr>
          <w:p w14:paraId="6B1D9D22">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累计责任限额</w:t>
            </w:r>
          </w:p>
        </w:tc>
        <w:tc>
          <w:tcPr>
            <w:tcW w:w="1958" w:type="dxa"/>
            <w:vAlign w:val="center"/>
          </w:tcPr>
          <w:p w14:paraId="2FD4A091">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50万元</w:t>
            </w:r>
          </w:p>
        </w:tc>
        <w:tc>
          <w:tcPr>
            <w:tcW w:w="3311" w:type="dxa"/>
            <w:vMerge w:val="restart"/>
            <w:vAlign w:val="center"/>
          </w:tcPr>
          <w:p w14:paraId="6FE2BA55">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center"/>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w:t>
            </w:r>
          </w:p>
        </w:tc>
      </w:tr>
      <w:tr w14:paraId="3120B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trPr>
        <w:tc>
          <w:tcPr>
            <w:tcW w:w="2079" w:type="dxa"/>
            <w:vMerge w:val="continue"/>
            <w:vAlign w:val="center"/>
          </w:tcPr>
          <w:p w14:paraId="37E0854E">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center"/>
              <w:textAlignment w:val="auto"/>
              <w:rPr>
                <w:rFonts w:hint="eastAsia" w:ascii="仿宋" w:hAnsi="仿宋" w:eastAsia="仿宋" w:cs="仿宋"/>
                <w:sz w:val="32"/>
                <w:szCs w:val="32"/>
                <w:lang w:val="en-US" w:eastAsia="zh-CN"/>
              </w:rPr>
            </w:pPr>
          </w:p>
        </w:tc>
        <w:tc>
          <w:tcPr>
            <w:tcW w:w="2972" w:type="dxa"/>
            <w:vAlign w:val="center"/>
          </w:tcPr>
          <w:p w14:paraId="52F75529">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每次事故责任限额</w:t>
            </w:r>
          </w:p>
        </w:tc>
        <w:tc>
          <w:tcPr>
            <w:tcW w:w="1958" w:type="dxa"/>
            <w:vAlign w:val="center"/>
          </w:tcPr>
          <w:p w14:paraId="48FC8F63">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50万元</w:t>
            </w:r>
          </w:p>
        </w:tc>
        <w:tc>
          <w:tcPr>
            <w:tcW w:w="3311" w:type="dxa"/>
            <w:vMerge w:val="continue"/>
            <w:vAlign w:val="center"/>
          </w:tcPr>
          <w:p w14:paraId="1882E0EF">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center"/>
              <w:textAlignment w:val="auto"/>
              <w:rPr>
                <w:rFonts w:hint="eastAsia" w:ascii="仿宋" w:hAnsi="仿宋" w:eastAsia="仿宋" w:cs="仿宋"/>
                <w:sz w:val="32"/>
                <w:szCs w:val="32"/>
                <w:lang w:val="en-US" w:eastAsia="zh-CN"/>
              </w:rPr>
            </w:pPr>
          </w:p>
        </w:tc>
      </w:tr>
      <w:tr w14:paraId="253B8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trPr>
        <w:tc>
          <w:tcPr>
            <w:tcW w:w="10320" w:type="dxa"/>
            <w:gridSpan w:val="4"/>
            <w:vAlign w:val="center"/>
          </w:tcPr>
          <w:p w14:paraId="77D42995">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附加超龄人员（16周岁-70周岁）</w:t>
            </w:r>
          </w:p>
        </w:tc>
      </w:tr>
      <w:tr w14:paraId="19CBD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trPr>
        <w:tc>
          <w:tcPr>
            <w:tcW w:w="10320" w:type="dxa"/>
            <w:gridSpan w:val="4"/>
            <w:vAlign w:val="center"/>
          </w:tcPr>
          <w:p w14:paraId="0D5C8E10">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附加上下班责任保险条款</w:t>
            </w:r>
          </w:p>
        </w:tc>
      </w:tr>
      <w:tr w14:paraId="7BFE7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trPr>
        <w:tc>
          <w:tcPr>
            <w:tcW w:w="10320" w:type="dxa"/>
            <w:gridSpan w:val="4"/>
            <w:vAlign w:val="center"/>
          </w:tcPr>
          <w:p w14:paraId="0D386973">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从业人员伤残比例表3</w:t>
            </w:r>
          </w:p>
        </w:tc>
      </w:tr>
    </w:tbl>
    <w:p w14:paraId="0836637D">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p>
    <w:p w14:paraId="22BD5EB1">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p>
    <w:p w14:paraId="294C607E">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p>
    <w:p w14:paraId="6581B8F0">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特别约定：</w:t>
      </w:r>
    </w:p>
    <w:p w14:paraId="2D1A8B98">
      <w:pPr>
        <w:keepNext w:val="0"/>
        <w:keepLines w:val="0"/>
        <w:pageBreakBefore w:val="0"/>
        <w:widowControl w:val="0"/>
        <w:kinsoku/>
        <w:wordWrap/>
        <w:overflowPunct/>
        <w:topLinePunct w:val="0"/>
        <w:autoSpaceDE/>
        <w:autoSpaceDN/>
        <w:bidi w:val="0"/>
        <w:adjustRightInd/>
        <w:snapToGrid/>
        <w:spacing w:line="288" w:lineRule="auto"/>
        <w:jc w:val="both"/>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1、本保险仅承保从业人员在指定的施工区域内从事建筑施工或与建筑施工相关的工作期间所发生的保险事故，施工区域以承保时投保人提供的施工合同或施工图样说明为准。从业人员以出险上月考勤表、工资表在册员工名单为准，如为新进员工，按实际情况提供其他证明（包括但不限于劳动合同或雇佣合同等）。</w:t>
      </w:r>
    </w:p>
    <w:p w14:paraId="375848E6">
      <w:pPr>
        <w:keepNext w:val="0"/>
        <w:keepLines w:val="0"/>
        <w:pageBreakBefore w:val="0"/>
        <w:widowControl w:val="0"/>
        <w:kinsoku/>
        <w:wordWrap/>
        <w:overflowPunct/>
        <w:topLinePunct w:val="0"/>
        <w:autoSpaceDE/>
        <w:autoSpaceDN/>
        <w:bidi w:val="0"/>
        <w:adjustRightInd/>
        <w:snapToGrid/>
        <w:spacing w:line="288" w:lineRule="auto"/>
        <w:jc w:val="both"/>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2、未取得对应的特种作业证书进行特种作业操作引起的事故，保险公司不承担保险责任。特种作业相关定义以浙江省建设厅的浙江省建筑施工特种作业人员管理办法规定为准。</w:t>
      </w:r>
    </w:p>
    <w:p w14:paraId="1225BD38">
      <w:pPr>
        <w:keepNext w:val="0"/>
        <w:keepLines w:val="0"/>
        <w:pageBreakBefore w:val="0"/>
        <w:widowControl w:val="0"/>
        <w:kinsoku/>
        <w:wordWrap/>
        <w:overflowPunct/>
        <w:topLinePunct w:val="0"/>
        <w:autoSpaceDE/>
        <w:autoSpaceDN/>
        <w:bidi w:val="0"/>
        <w:adjustRightInd/>
        <w:snapToGrid/>
        <w:spacing w:line="288" w:lineRule="auto"/>
        <w:jc w:val="both"/>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val="en-US" w:eastAsia="zh-CN"/>
        </w:rPr>
        <w:t>3</w:t>
      </w:r>
      <w:r>
        <w:rPr>
          <w:rFonts w:hint="eastAsia" w:asciiTheme="minorEastAsia" w:hAnsiTheme="minorEastAsia" w:eastAsiaTheme="minorEastAsia" w:cstheme="minorEastAsia"/>
          <w:sz w:val="28"/>
          <w:szCs w:val="28"/>
          <w:lang w:eastAsia="zh-CN"/>
        </w:rPr>
        <w:t>、保险责任开始前，投保人要求解除保险合同的，应当向保险人支付退保手续费，退保手续费比例( 5% )，保险人应当退还剩余部分保险费。</w:t>
      </w:r>
    </w:p>
    <w:p w14:paraId="5E0945E6">
      <w:pPr>
        <w:keepNext w:val="0"/>
        <w:keepLines w:val="0"/>
        <w:pageBreakBefore w:val="0"/>
        <w:widowControl w:val="0"/>
        <w:kinsoku/>
        <w:wordWrap/>
        <w:overflowPunct/>
        <w:topLinePunct w:val="0"/>
        <w:autoSpaceDE/>
        <w:autoSpaceDN/>
        <w:bidi w:val="0"/>
        <w:adjustRightInd/>
        <w:snapToGrid/>
        <w:spacing w:line="288" w:lineRule="auto"/>
        <w:jc w:val="both"/>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保险事故发生后，为查明事故原因及相关责任而聘请具备相应资质的专业机构进行检验、勘查、评估，并出具具备相应法定效力的报告所发生的，依法应由被保险人承担的事故鉴定费用（简称“事故鉴定费用”）由保险人按照本保险合同的约定负责赔偿。</w:t>
      </w:r>
    </w:p>
    <w:p w14:paraId="0C569096">
      <w:pPr>
        <w:keepNext w:val="0"/>
        <w:keepLines w:val="0"/>
        <w:pageBreakBefore w:val="0"/>
        <w:widowControl w:val="0"/>
        <w:kinsoku/>
        <w:wordWrap/>
        <w:overflowPunct/>
        <w:topLinePunct w:val="0"/>
        <w:autoSpaceDE/>
        <w:autoSpaceDN/>
        <w:bidi w:val="0"/>
        <w:adjustRightInd/>
        <w:snapToGrid/>
        <w:spacing w:line="288" w:lineRule="auto"/>
        <w:jc w:val="both"/>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5、本保单每年为投保企业提供1次风险识别和隐患排查，其中地基基础、主体结构、装饰装修与机电安装等阶段，每阶段应至少开展1次风险识别和隐患排查。</w:t>
      </w:r>
    </w:p>
    <w:p w14:paraId="551F0A2F">
      <w:pPr>
        <w:keepNext w:val="0"/>
        <w:keepLines w:val="0"/>
        <w:pageBreakBefore w:val="0"/>
        <w:widowControl w:val="0"/>
        <w:kinsoku/>
        <w:wordWrap/>
        <w:overflowPunct/>
        <w:topLinePunct w:val="0"/>
        <w:autoSpaceDE/>
        <w:autoSpaceDN/>
        <w:bidi w:val="0"/>
        <w:adjustRightInd/>
        <w:snapToGrid/>
        <w:spacing w:line="288" w:lineRule="auto"/>
        <w:jc w:val="both"/>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6、如工程提前竣工验收的，保险责任至实际竣工验收日终止，保险人不退还任何保险费；</w:t>
      </w:r>
      <w:r>
        <w:rPr>
          <w:rFonts w:hint="eastAsia" w:asciiTheme="minorEastAsia" w:hAnsiTheme="minorEastAsia" w:eastAsiaTheme="minorEastAsia" w:cstheme="minorEastAsia"/>
          <w:b/>
          <w:bCs/>
          <w:sz w:val="28"/>
          <w:szCs w:val="28"/>
          <w:lang w:val="en-US" w:eastAsia="zh-CN"/>
        </w:rPr>
        <w:t>如保险期间届满工程仍未竣工的，投保人应在保险期间届满之日前30日（含）内通过书面形式向保险人申请办理延期手续</w:t>
      </w:r>
      <w:r>
        <w:rPr>
          <w:rFonts w:hint="eastAsia" w:asciiTheme="minorEastAsia" w:hAnsiTheme="minorEastAsia" w:eastAsiaTheme="minorEastAsia" w:cstheme="minorEastAsia"/>
          <w:b/>
          <w:bCs/>
          <w:color w:val="auto"/>
          <w:sz w:val="28"/>
          <w:szCs w:val="28"/>
          <w:lang w:val="en-US" w:eastAsia="zh-CN"/>
        </w:rPr>
        <w:t>，经保险人同意延期的，延期自保险期间届满次日0时起计算，累计延期最长不超（180）日，不加收保险费</w:t>
      </w:r>
      <w:r>
        <w:rPr>
          <w:rFonts w:hint="eastAsia" w:asciiTheme="minorEastAsia" w:hAnsiTheme="minorEastAsia" w:eastAsiaTheme="minorEastAsia" w:cstheme="minorEastAsia"/>
          <w:sz w:val="28"/>
          <w:szCs w:val="28"/>
          <w:lang w:val="en-US" w:eastAsia="zh-CN"/>
        </w:rPr>
        <w:t>；累计延期超过（</w:t>
      </w:r>
      <w:r>
        <w:rPr>
          <w:rFonts w:hint="eastAsia" w:asciiTheme="minorEastAsia" w:hAnsiTheme="minorEastAsia" w:eastAsiaTheme="minorEastAsia" w:cstheme="minorEastAsia"/>
          <w:b/>
          <w:bCs/>
          <w:color w:val="auto"/>
          <w:sz w:val="28"/>
          <w:szCs w:val="28"/>
          <w:lang w:val="en-US" w:eastAsia="zh-CN"/>
        </w:rPr>
        <w:t>180</w:t>
      </w:r>
      <w:r>
        <w:rPr>
          <w:rFonts w:hint="eastAsia" w:asciiTheme="minorEastAsia" w:hAnsiTheme="minorEastAsia" w:eastAsiaTheme="minorEastAsia" w:cstheme="minorEastAsia"/>
          <w:sz w:val="28"/>
          <w:szCs w:val="28"/>
          <w:lang w:val="en-US" w:eastAsia="zh-CN"/>
        </w:rPr>
        <w:t>）日的，按日比例交纳延期保险费。</w:t>
      </w:r>
    </w:p>
    <w:p w14:paraId="4B0BB612">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560" w:firstLineChars="200"/>
        <w:textAlignment w:val="auto"/>
        <w:rPr>
          <w:rFonts w:hint="eastAsia" w:asciiTheme="minorEastAsia" w:hAnsiTheme="minorEastAsia" w:eastAsiaTheme="minorEastAsia" w:cstheme="minorEastAsia"/>
          <w:color w:val="auto"/>
          <w:sz w:val="28"/>
          <w:szCs w:val="28"/>
          <w:lang w:eastAsia="zh-CN"/>
        </w:rPr>
      </w:pPr>
      <w:r>
        <w:rPr>
          <w:rFonts w:hint="eastAsia" w:asciiTheme="minorEastAsia" w:hAnsiTheme="minorEastAsia" w:eastAsiaTheme="minorEastAsia" w:cstheme="minorEastAsia"/>
          <w:color w:val="auto"/>
          <w:sz w:val="28"/>
          <w:szCs w:val="28"/>
          <w:lang w:val="en-US" w:eastAsia="zh-CN"/>
        </w:rPr>
        <w:t>7、</w:t>
      </w:r>
      <w:r>
        <w:rPr>
          <w:rFonts w:hint="eastAsia" w:asciiTheme="minorEastAsia" w:hAnsiTheme="minorEastAsia" w:eastAsiaTheme="minorEastAsia" w:cstheme="minorEastAsia"/>
          <w:color w:val="auto"/>
          <w:sz w:val="28"/>
          <w:szCs w:val="28"/>
          <w:lang w:eastAsia="zh-CN"/>
        </w:rPr>
        <w:t>医疗救援费用保障约定：在保险期间内，被保险人在保险单载明的地址或区域范围内从事生产经营活动过程中发生生产安全事故，被保险人为防止或减少从业人员或第三者人身伤亡，在从业人员或第三者被送至医院前所支付的紧急运输费用、紧急抢救费用等必要的、合理的费用，保险人按照本保险合同约定负责赔偿。</w:t>
      </w:r>
    </w:p>
    <w:p w14:paraId="5F6F3730">
      <w:pPr>
        <w:outlineLvl w:val="9"/>
        <w:rPr>
          <w:rFonts w:hint="eastAsia"/>
          <w:lang w:eastAsia="zh-CN"/>
        </w:rPr>
      </w:pPr>
    </w:p>
    <w:p w14:paraId="1B774A6D">
      <w:pPr>
        <w:keepNext w:val="0"/>
        <w:keepLines w:val="0"/>
        <w:pageBreakBefore w:val="0"/>
        <w:widowControl/>
        <w:kinsoku/>
        <w:wordWrap/>
        <w:overflowPunct/>
        <w:topLinePunct w:val="0"/>
        <w:autoSpaceDE/>
        <w:autoSpaceDN/>
        <w:bidi w:val="0"/>
        <w:adjustRightInd/>
        <w:snapToGrid/>
        <w:spacing w:line="360" w:lineRule="auto"/>
        <w:textAlignment w:val="auto"/>
        <w:outlineLvl w:val="9"/>
        <w:rPr>
          <w:rFonts w:hint="default"/>
          <w:sz w:val="28"/>
          <w:szCs w:val="28"/>
          <w:lang w:val="en-US" w:eastAsia="zh-CN"/>
        </w:rPr>
      </w:pPr>
      <w:r>
        <w:rPr>
          <w:rFonts w:hint="eastAsia"/>
          <w:lang w:val="en-US" w:eastAsia="zh-CN"/>
        </w:rPr>
        <w:t xml:space="preserve">    </w:t>
      </w:r>
      <w:r>
        <w:rPr>
          <w:rFonts w:hint="eastAsia"/>
          <w:sz w:val="28"/>
          <w:szCs w:val="28"/>
          <w:lang w:val="en-US" w:eastAsia="zh-CN"/>
        </w:rPr>
        <w:t>8、</w:t>
      </w:r>
      <w:r>
        <w:rPr>
          <w:rFonts w:hint="eastAsia"/>
          <w:sz w:val="28"/>
          <w:szCs w:val="28"/>
          <w:highlight w:val="none"/>
          <w:lang w:val="en-US" w:eastAsia="zh-CN"/>
        </w:rPr>
        <w:t>经投保人告知，本保单承保的从业人员已有其他相同保障的保险（包括工伤保险）存在。经双方协商同意，投保人在享受费率优惠的前提下，保险事故发生时，被保险人先向其他相同保障的保险（包括工伤保险）进行索赔。</w:t>
      </w:r>
    </w:p>
    <w:p w14:paraId="3C90221B">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9、本保单从业人员伤残比例表3：</w:t>
      </w:r>
    </w:p>
    <w:tbl>
      <w:tblPr>
        <w:tblStyle w:val="8"/>
        <w:tblW w:w="0" w:type="auto"/>
        <w:jc w:val="center"/>
        <w:tblLayout w:type="fixed"/>
        <w:tblCellMar>
          <w:top w:w="0" w:type="dxa"/>
          <w:left w:w="108" w:type="dxa"/>
          <w:bottom w:w="0" w:type="dxa"/>
          <w:right w:w="108" w:type="dxa"/>
        </w:tblCellMar>
      </w:tblPr>
      <w:tblGrid>
        <w:gridCol w:w="5110"/>
        <w:gridCol w:w="4069"/>
      </w:tblGrid>
      <w:tr w14:paraId="129A1A58">
        <w:tblPrEx>
          <w:tblCellMar>
            <w:top w:w="0" w:type="dxa"/>
            <w:left w:w="108" w:type="dxa"/>
            <w:bottom w:w="0" w:type="dxa"/>
            <w:right w:w="108" w:type="dxa"/>
          </w:tblCellMar>
        </w:tblPrEx>
        <w:trPr>
          <w:trHeight w:val="144" w:hRule="atLeast"/>
          <w:jc w:val="center"/>
        </w:trPr>
        <w:tc>
          <w:tcPr>
            <w:tcW w:w="5110" w:type="dxa"/>
            <w:tcBorders>
              <w:top w:val="single" w:color="auto" w:sz="4" w:space="0"/>
              <w:left w:val="single" w:color="auto" w:sz="4" w:space="0"/>
              <w:bottom w:val="single" w:color="auto" w:sz="4" w:space="0"/>
              <w:right w:val="single" w:color="auto" w:sz="4" w:space="0"/>
            </w:tcBorders>
            <w:noWrap w:val="0"/>
            <w:vAlign w:val="center"/>
          </w:tcPr>
          <w:p w14:paraId="7A6A89A8">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残疾程度</w:t>
            </w:r>
          </w:p>
        </w:tc>
        <w:tc>
          <w:tcPr>
            <w:tcW w:w="4069" w:type="dxa"/>
            <w:tcBorders>
              <w:top w:val="single" w:color="auto" w:sz="4" w:space="0"/>
              <w:left w:val="single" w:color="auto" w:sz="4" w:space="0"/>
              <w:bottom w:val="single" w:color="auto" w:sz="4" w:space="0"/>
              <w:right w:val="single" w:color="auto" w:sz="4" w:space="0"/>
            </w:tcBorders>
            <w:noWrap w:val="0"/>
            <w:vAlign w:val="center"/>
          </w:tcPr>
          <w:p w14:paraId="38A37F38">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bookmarkStart w:id="0" w:name="OLE_LINK1"/>
            <w:r>
              <w:rPr>
                <w:rFonts w:hint="eastAsia" w:ascii="仿宋" w:hAnsi="仿宋" w:eastAsia="仿宋" w:cs="仿宋"/>
                <w:sz w:val="32"/>
                <w:szCs w:val="32"/>
                <w:lang w:val="en-US" w:eastAsia="zh-CN"/>
              </w:rPr>
              <w:t>每人伤残责任限额的百分比</w:t>
            </w:r>
            <w:bookmarkEnd w:id="0"/>
          </w:p>
        </w:tc>
      </w:tr>
      <w:tr w14:paraId="6E5888FA">
        <w:tblPrEx>
          <w:tblCellMar>
            <w:top w:w="0" w:type="dxa"/>
            <w:left w:w="108" w:type="dxa"/>
            <w:bottom w:w="0" w:type="dxa"/>
            <w:right w:w="108" w:type="dxa"/>
          </w:tblCellMar>
        </w:tblPrEx>
        <w:trPr>
          <w:trHeight w:val="132" w:hRule="atLeast"/>
          <w:jc w:val="center"/>
        </w:trPr>
        <w:tc>
          <w:tcPr>
            <w:tcW w:w="5110" w:type="dxa"/>
            <w:tcBorders>
              <w:top w:val="single" w:color="auto" w:sz="4" w:space="0"/>
              <w:left w:val="single" w:color="auto" w:sz="4" w:space="0"/>
              <w:bottom w:val="single" w:color="auto" w:sz="4" w:space="0"/>
              <w:right w:val="single" w:color="auto" w:sz="4" w:space="0"/>
            </w:tcBorders>
            <w:noWrap w:val="0"/>
            <w:vAlign w:val="center"/>
          </w:tcPr>
          <w:p w14:paraId="32958362">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永久丧失全部工作能力或一级伤残</w:t>
            </w:r>
          </w:p>
        </w:tc>
        <w:tc>
          <w:tcPr>
            <w:tcW w:w="4069" w:type="dxa"/>
            <w:tcBorders>
              <w:top w:val="single" w:color="auto" w:sz="4" w:space="0"/>
              <w:left w:val="single" w:color="auto" w:sz="4" w:space="0"/>
              <w:bottom w:val="single" w:color="auto" w:sz="4" w:space="0"/>
              <w:right w:val="single" w:color="auto" w:sz="4" w:space="0"/>
            </w:tcBorders>
            <w:noWrap w:val="0"/>
            <w:vAlign w:val="center"/>
          </w:tcPr>
          <w:p w14:paraId="367976F2">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100%</w:t>
            </w:r>
          </w:p>
        </w:tc>
      </w:tr>
      <w:tr w14:paraId="4B10B94F">
        <w:tblPrEx>
          <w:tblCellMar>
            <w:top w:w="0" w:type="dxa"/>
            <w:left w:w="108" w:type="dxa"/>
            <w:bottom w:w="0" w:type="dxa"/>
            <w:right w:w="108" w:type="dxa"/>
          </w:tblCellMar>
        </w:tblPrEx>
        <w:trPr>
          <w:trHeight w:val="97" w:hRule="atLeast"/>
          <w:jc w:val="center"/>
        </w:trPr>
        <w:tc>
          <w:tcPr>
            <w:tcW w:w="5110" w:type="dxa"/>
            <w:tcBorders>
              <w:top w:val="single" w:color="auto" w:sz="4" w:space="0"/>
              <w:left w:val="single" w:color="auto" w:sz="4" w:space="0"/>
              <w:bottom w:val="single" w:color="auto" w:sz="4" w:space="0"/>
              <w:right w:val="single" w:color="auto" w:sz="4" w:space="0"/>
            </w:tcBorders>
            <w:noWrap w:val="0"/>
            <w:vAlign w:val="center"/>
          </w:tcPr>
          <w:p w14:paraId="420033A9">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二级伤残</w:t>
            </w:r>
          </w:p>
        </w:tc>
        <w:tc>
          <w:tcPr>
            <w:tcW w:w="4069" w:type="dxa"/>
            <w:tcBorders>
              <w:top w:val="single" w:color="auto" w:sz="4" w:space="0"/>
              <w:left w:val="single" w:color="auto" w:sz="4" w:space="0"/>
              <w:bottom w:val="single" w:color="auto" w:sz="4" w:space="0"/>
              <w:right w:val="single" w:color="auto" w:sz="4" w:space="0"/>
            </w:tcBorders>
            <w:noWrap w:val="0"/>
            <w:vAlign w:val="center"/>
          </w:tcPr>
          <w:p w14:paraId="40F1E0CA">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80%</w:t>
            </w:r>
          </w:p>
        </w:tc>
      </w:tr>
      <w:tr w14:paraId="4676C795">
        <w:tblPrEx>
          <w:tblCellMar>
            <w:top w:w="0" w:type="dxa"/>
            <w:left w:w="108" w:type="dxa"/>
            <w:bottom w:w="0" w:type="dxa"/>
            <w:right w:w="108" w:type="dxa"/>
          </w:tblCellMar>
        </w:tblPrEx>
        <w:trPr>
          <w:trHeight w:val="97" w:hRule="atLeast"/>
          <w:jc w:val="center"/>
        </w:trPr>
        <w:tc>
          <w:tcPr>
            <w:tcW w:w="5110" w:type="dxa"/>
            <w:tcBorders>
              <w:top w:val="single" w:color="auto" w:sz="4" w:space="0"/>
              <w:left w:val="single" w:color="auto" w:sz="4" w:space="0"/>
              <w:bottom w:val="single" w:color="auto" w:sz="4" w:space="0"/>
              <w:right w:val="single" w:color="auto" w:sz="4" w:space="0"/>
            </w:tcBorders>
            <w:noWrap w:val="0"/>
            <w:vAlign w:val="center"/>
          </w:tcPr>
          <w:p w14:paraId="445A640E">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三级伤残</w:t>
            </w:r>
          </w:p>
        </w:tc>
        <w:tc>
          <w:tcPr>
            <w:tcW w:w="4069" w:type="dxa"/>
            <w:tcBorders>
              <w:top w:val="single" w:color="auto" w:sz="4" w:space="0"/>
              <w:left w:val="single" w:color="auto" w:sz="4" w:space="0"/>
              <w:bottom w:val="single" w:color="auto" w:sz="4" w:space="0"/>
              <w:right w:val="single" w:color="auto" w:sz="4" w:space="0"/>
            </w:tcBorders>
            <w:noWrap w:val="0"/>
            <w:vAlign w:val="center"/>
          </w:tcPr>
          <w:p w14:paraId="05AAFEF2">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70%</w:t>
            </w:r>
          </w:p>
        </w:tc>
      </w:tr>
      <w:tr w14:paraId="3BA8BE40">
        <w:tblPrEx>
          <w:tblCellMar>
            <w:top w:w="0" w:type="dxa"/>
            <w:left w:w="108" w:type="dxa"/>
            <w:bottom w:w="0" w:type="dxa"/>
            <w:right w:w="108" w:type="dxa"/>
          </w:tblCellMar>
        </w:tblPrEx>
        <w:trPr>
          <w:trHeight w:val="97" w:hRule="atLeast"/>
          <w:jc w:val="center"/>
        </w:trPr>
        <w:tc>
          <w:tcPr>
            <w:tcW w:w="5110" w:type="dxa"/>
            <w:tcBorders>
              <w:top w:val="single" w:color="auto" w:sz="4" w:space="0"/>
              <w:left w:val="single" w:color="auto" w:sz="4" w:space="0"/>
              <w:bottom w:val="single" w:color="auto" w:sz="4" w:space="0"/>
              <w:right w:val="single" w:color="auto" w:sz="4" w:space="0"/>
            </w:tcBorders>
            <w:noWrap w:val="0"/>
            <w:vAlign w:val="center"/>
          </w:tcPr>
          <w:p w14:paraId="1F1D940C">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四级伤残</w:t>
            </w:r>
          </w:p>
        </w:tc>
        <w:tc>
          <w:tcPr>
            <w:tcW w:w="4069" w:type="dxa"/>
            <w:tcBorders>
              <w:top w:val="single" w:color="auto" w:sz="4" w:space="0"/>
              <w:left w:val="single" w:color="auto" w:sz="4" w:space="0"/>
              <w:bottom w:val="single" w:color="auto" w:sz="4" w:space="0"/>
              <w:right w:val="single" w:color="auto" w:sz="4" w:space="0"/>
            </w:tcBorders>
            <w:noWrap w:val="0"/>
            <w:vAlign w:val="center"/>
          </w:tcPr>
          <w:p w14:paraId="028748EC">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60%</w:t>
            </w:r>
          </w:p>
        </w:tc>
      </w:tr>
      <w:tr w14:paraId="11A12515">
        <w:tblPrEx>
          <w:tblCellMar>
            <w:top w:w="0" w:type="dxa"/>
            <w:left w:w="108" w:type="dxa"/>
            <w:bottom w:w="0" w:type="dxa"/>
            <w:right w:w="108" w:type="dxa"/>
          </w:tblCellMar>
        </w:tblPrEx>
        <w:trPr>
          <w:trHeight w:val="97" w:hRule="atLeast"/>
          <w:jc w:val="center"/>
        </w:trPr>
        <w:tc>
          <w:tcPr>
            <w:tcW w:w="5110" w:type="dxa"/>
            <w:tcBorders>
              <w:top w:val="single" w:color="auto" w:sz="4" w:space="0"/>
              <w:left w:val="single" w:color="auto" w:sz="4" w:space="0"/>
              <w:bottom w:val="single" w:color="auto" w:sz="4" w:space="0"/>
              <w:right w:val="single" w:color="auto" w:sz="4" w:space="0"/>
            </w:tcBorders>
            <w:noWrap w:val="0"/>
            <w:vAlign w:val="center"/>
          </w:tcPr>
          <w:p w14:paraId="7FD7CA2F">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五级伤残</w:t>
            </w:r>
          </w:p>
        </w:tc>
        <w:tc>
          <w:tcPr>
            <w:tcW w:w="4069" w:type="dxa"/>
            <w:tcBorders>
              <w:top w:val="single" w:color="auto" w:sz="4" w:space="0"/>
              <w:left w:val="single" w:color="auto" w:sz="4" w:space="0"/>
              <w:bottom w:val="single" w:color="auto" w:sz="4" w:space="0"/>
              <w:right w:val="single" w:color="auto" w:sz="4" w:space="0"/>
            </w:tcBorders>
            <w:noWrap w:val="0"/>
            <w:vAlign w:val="center"/>
          </w:tcPr>
          <w:p w14:paraId="1C2192FC">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50%</w:t>
            </w:r>
          </w:p>
        </w:tc>
      </w:tr>
      <w:tr w14:paraId="34975C10">
        <w:tblPrEx>
          <w:tblCellMar>
            <w:top w:w="0" w:type="dxa"/>
            <w:left w:w="108" w:type="dxa"/>
            <w:bottom w:w="0" w:type="dxa"/>
            <w:right w:w="108" w:type="dxa"/>
          </w:tblCellMar>
        </w:tblPrEx>
        <w:trPr>
          <w:trHeight w:val="97" w:hRule="atLeast"/>
          <w:jc w:val="center"/>
        </w:trPr>
        <w:tc>
          <w:tcPr>
            <w:tcW w:w="5110" w:type="dxa"/>
            <w:tcBorders>
              <w:top w:val="single" w:color="auto" w:sz="4" w:space="0"/>
              <w:left w:val="single" w:color="auto" w:sz="4" w:space="0"/>
              <w:bottom w:val="single" w:color="auto" w:sz="4" w:space="0"/>
              <w:right w:val="single" w:color="auto" w:sz="4" w:space="0"/>
            </w:tcBorders>
            <w:noWrap w:val="0"/>
            <w:vAlign w:val="center"/>
          </w:tcPr>
          <w:p w14:paraId="4879C6FD">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六级伤残</w:t>
            </w:r>
          </w:p>
        </w:tc>
        <w:tc>
          <w:tcPr>
            <w:tcW w:w="4069" w:type="dxa"/>
            <w:tcBorders>
              <w:top w:val="single" w:color="auto" w:sz="4" w:space="0"/>
              <w:left w:val="single" w:color="auto" w:sz="4" w:space="0"/>
              <w:bottom w:val="single" w:color="auto" w:sz="4" w:space="0"/>
              <w:right w:val="single" w:color="auto" w:sz="4" w:space="0"/>
            </w:tcBorders>
            <w:noWrap w:val="0"/>
            <w:vAlign w:val="center"/>
          </w:tcPr>
          <w:p w14:paraId="0AEEABBE">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40%</w:t>
            </w:r>
          </w:p>
        </w:tc>
      </w:tr>
      <w:tr w14:paraId="3D9EC5B9">
        <w:tblPrEx>
          <w:tblCellMar>
            <w:top w:w="0" w:type="dxa"/>
            <w:left w:w="108" w:type="dxa"/>
            <w:bottom w:w="0" w:type="dxa"/>
            <w:right w:w="108" w:type="dxa"/>
          </w:tblCellMar>
        </w:tblPrEx>
        <w:trPr>
          <w:trHeight w:val="97" w:hRule="atLeast"/>
          <w:jc w:val="center"/>
        </w:trPr>
        <w:tc>
          <w:tcPr>
            <w:tcW w:w="5110" w:type="dxa"/>
            <w:tcBorders>
              <w:top w:val="single" w:color="auto" w:sz="4" w:space="0"/>
              <w:left w:val="single" w:color="auto" w:sz="4" w:space="0"/>
              <w:bottom w:val="single" w:color="auto" w:sz="4" w:space="0"/>
              <w:right w:val="single" w:color="auto" w:sz="4" w:space="0"/>
            </w:tcBorders>
            <w:noWrap w:val="0"/>
            <w:vAlign w:val="center"/>
          </w:tcPr>
          <w:p w14:paraId="4AED39DA">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七级伤残</w:t>
            </w:r>
          </w:p>
        </w:tc>
        <w:tc>
          <w:tcPr>
            <w:tcW w:w="4069" w:type="dxa"/>
            <w:tcBorders>
              <w:top w:val="single" w:color="auto" w:sz="4" w:space="0"/>
              <w:left w:val="single" w:color="auto" w:sz="4" w:space="0"/>
              <w:bottom w:val="single" w:color="auto" w:sz="4" w:space="0"/>
              <w:right w:val="single" w:color="auto" w:sz="4" w:space="0"/>
            </w:tcBorders>
            <w:noWrap w:val="0"/>
            <w:vAlign w:val="center"/>
          </w:tcPr>
          <w:p w14:paraId="11FC32F1">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30%</w:t>
            </w:r>
          </w:p>
        </w:tc>
      </w:tr>
      <w:tr w14:paraId="446CE989">
        <w:tblPrEx>
          <w:tblCellMar>
            <w:top w:w="0" w:type="dxa"/>
            <w:left w:w="108" w:type="dxa"/>
            <w:bottom w:w="0" w:type="dxa"/>
            <w:right w:w="108" w:type="dxa"/>
          </w:tblCellMar>
        </w:tblPrEx>
        <w:trPr>
          <w:trHeight w:val="97" w:hRule="atLeast"/>
          <w:jc w:val="center"/>
        </w:trPr>
        <w:tc>
          <w:tcPr>
            <w:tcW w:w="5110" w:type="dxa"/>
            <w:tcBorders>
              <w:top w:val="single" w:color="auto" w:sz="4" w:space="0"/>
              <w:left w:val="single" w:color="auto" w:sz="4" w:space="0"/>
              <w:bottom w:val="single" w:color="auto" w:sz="4" w:space="0"/>
              <w:right w:val="single" w:color="auto" w:sz="4" w:space="0"/>
            </w:tcBorders>
            <w:noWrap w:val="0"/>
            <w:vAlign w:val="center"/>
          </w:tcPr>
          <w:p w14:paraId="7106B9DD">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八级伤残</w:t>
            </w:r>
          </w:p>
        </w:tc>
        <w:tc>
          <w:tcPr>
            <w:tcW w:w="4069" w:type="dxa"/>
            <w:tcBorders>
              <w:top w:val="single" w:color="auto" w:sz="4" w:space="0"/>
              <w:left w:val="single" w:color="auto" w:sz="4" w:space="0"/>
              <w:bottom w:val="single" w:color="auto" w:sz="4" w:space="0"/>
              <w:right w:val="single" w:color="auto" w:sz="4" w:space="0"/>
            </w:tcBorders>
            <w:noWrap w:val="0"/>
            <w:vAlign w:val="center"/>
          </w:tcPr>
          <w:p w14:paraId="5A1F8DBA">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w:t>
            </w:r>
          </w:p>
        </w:tc>
      </w:tr>
      <w:tr w14:paraId="31442ABA">
        <w:tblPrEx>
          <w:tblCellMar>
            <w:top w:w="0" w:type="dxa"/>
            <w:left w:w="108" w:type="dxa"/>
            <w:bottom w:w="0" w:type="dxa"/>
            <w:right w:w="108" w:type="dxa"/>
          </w:tblCellMar>
        </w:tblPrEx>
        <w:trPr>
          <w:trHeight w:val="97" w:hRule="atLeast"/>
          <w:jc w:val="center"/>
        </w:trPr>
        <w:tc>
          <w:tcPr>
            <w:tcW w:w="5110" w:type="dxa"/>
            <w:tcBorders>
              <w:top w:val="single" w:color="auto" w:sz="4" w:space="0"/>
              <w:left w:val="single" w:color="auto" w:sz="4" w:space="0"/>
              <w:bottom w:val="single" w:color="auto" w:sz="4" w:space="0"/>
              <w:right w:val="single" w:color="auto" w:sz="4" w:space="0"/>
            </w:tcBorders>
            <w:noWrap w:val="0"/>
            <w:vAlign w:val="center"/>
          </w:tcPr>
          <w:p w14:paraId="49F2FC19">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九级伤残</w:t>
            </w:r>
          </w:p>
        </w:tc>
        <w:tc>
          <w:tcPr>
            <w:tcW w:w="4069" w:type="dxa"/>
            <w:tcBorders>
              <w:top w:val="single" w:color="auto" w:sz="4" w:space="0"/>
              <w:left w:val="single" w:color="auto" w:sz="4" w:space="0"/>
              <w:bottom w:val="single" w:color="auto" w:sz="4" w:space="0"/>
              <w:right w:val="single" w:color="auto" w:sz="4" w:space="0"/>
            </w:tcBorders>
            <w:noWrap w:val="0"/>
            <w:vAlign w:val="center"/>
          </w:tcPr>
          <w:p w14:paraId="05072462">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10%</w:t>
            </w:r>
          </w:p>
        </w:tc>
      </w:tr>
      <w:tr w14:paraId="36B630DC">
        <w:tblPrEx>
          <w:tblCellMar>
            <w:top w:w="0" w:type="dxa"/>
            <w:left w:w="108" w:type="dxa"/>
            <w:bottom w:w="0" w:type="dxa"/>
            <w:right w:w="108" w:type="dxa"/>
          </w:tblCellMar>
        </w:tblPrEx>
        <w:trPr>
          <w:trHeight w:val="98" w:hRule="atLeast"/>
          <w:jc w:val="center"/>
        </w:trPr>
        <w:tc>
          <w:tcPr>
            <w:tcW w:w="5110" w:type="dxa"/>
            <w:tcBorders>
              <w:top w:val="single" w:color="auto" w:sz="4" w:space="0"/>
              <w:left w:val="single" w:color="auto" w:sz="4" w:space="0"/>
              <w:bottom w:val="single" w:color="auto" w:sz="4" w:space="0"/>
              <w:right w:val="single" w:color="auto" w:sz="4" w:space="0"/>
            </w:tcBorders>
            <w:noWrap w:val="0"/>
            <w:vAlign w:val="center"/>
          </w:tcPr>
          <w:p w14:paraId="74BC74FC">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十级伤残</w:t>
            </w:r>
          </w:p>
        </w:tc>
        <w:tc>
          <w:tcPr>
            <w:tcW w:w="4069" w:type="dxa"/>
            <w:tcBorders>
              <w:top w:val="single" w:color="auto" w:sz="4" w:space="0"/>
              <w:left w:val="single" w:color="auto" w:sz="4" w:space="0"/>
              <w:bottom w:val="single" w:color="auto" w:sz="4" w:space="0"/>
              <w:right w:val="single" w:color="auto" w:sz="4" w:space="0"/>
            </w:tcBorders>
            <w:noWrap w:val="0"/>
            <w:vAlign w:val="center"/>
          </w:tcPr>
          <w:p w14:paraId="03782307">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5%</w:t>
            </w:r>
          </w:p>
        </w:tc>
      </w:tr>
    </w:tbl>
    <w:p w14:paraId="6467F2A3">
      <w:pPr>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w:t>
      </w:r>
    </w:p>
    <w:p w14:paraId="76A8B8EB">
      <w:pPr>
        <w:outlineLvl w:val="9"/>
        <w:rPr>
          <w:rFonts w:hint="eastAsia" w:ascii="仿宋" w:hAnsi="仿宋" w:eastAsia="仿宋" w:cs="仿宋"/>
          <w:sz w:val="32"/>
          <w:szCs w:val="32"/>
          <w:lang w:val="en-US" w:eastAsia="zh-CN"/>
        </w:rPr>
      </w:pPr>
    </w:p>
    <w:p w14:paraId="0C0EE1E4">
      <w:pPr>
        <w:outlineLvl w:val="9"/>
        <w:rPr>
          <w:rFonts w:hint="default" w:ascii="仿宋" w:hAnsi="仿宋" w:eastAsia="仿宋" w:cs="仿宋"/>
          <w:sz w:val="32"/>
          <w:szCs w:val="32"/>
          <w:lang w:val="en-US" w:eastAsia="zh-CN"/>
        </w:rPr>
      </w:pPr>
    </w:p>
    <w:p w14:paraId="755CD1DA">
      <w:pPr>
        <w:rPr>
          <w:rFonts w:hint="eastAsia"/>
          <w:lang w:val="en-US" w:eastAsia="zh-CN"/>
        </w:rPr>
      </w:pPr>
    </w:p>
    <w:p w14:paraId="348AB92F">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p>
    <w:p w14:paraId="50703794">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二、报价说明:</w:t>
      </w:r>
    </w:p>
    <w:p w14:paraId="387BEAB9">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（1）此次招标最高限价为47000.00元整，报价大于或等于最高限价则报价无效。供应商需严格按照保险标的信息进行报价。</w:t>
      </w:r>
    </w:p>
    <w:p w14:paraId="4AF0307D">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（2）需提供总机构授权或能够提供房产权证或其他有效财产证明材料，证明其具备实际承担责任的能力和法定的缔结合同能力（须提供总机构授权、房产权证、其他有效财产证明材料，最少提供一项）。</w:t>
      </w:r>
    </w:p>
    <w:p w14:paraId="12315F4B">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（3）为做好售后服务工作，供应商需在开化县境内设有服务机构（须提供营业执照）。</w:t>
      </w:r>
    </w:p>
    <w:p w14:paraId="25F34F7F">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（4）供应商需具备办理责任险、保证险资质资格（须提供保险监管部门颁发的《保险许可证》扫描件）。</w:t>
      </w:r>
    </w:p>
    <w:p w14:paraId="4256C15C">
      <w:pPr>
        <w:keepNext w:val="0"/>
        <w:keepLines w:val="0"/>
        <w:pageBreakBefore w:val="0"/>
        <w:widowControl/>
        <w:numPr>
          <w:ilvl w:val="0"/>
          <w:numId w:val="0"/>
        </w:numPr>
        <w:kinsoku/>
        <w:wordWrap/>
        <w:overflowPunct/>
        <w:topLinePunct w:val="0"/>
        <w:autoSpaceDE/>
        <w:autoSpaceDN/>
        <w:bidi w:val="0"/>
        <w:adjustRightInd/>
        <w:snapToGrid/>
        <w:spacing w:line="600" w:lineRule="exact"/>
        <w:textAlignment w:val="auto"/>
        <w:rPr>
          <w:rFonts w:hint="default"/>
          <w:b/>
          <w:bCs/>
          <w:color w:val="auto"/>
          <w:lang w:val="en-US" w:eastAsia="zh-CN"/>
        </w:rPr>
      </w:pPr>
      <w:r>
        <w:rPr>
          <w:rFonts w:hint="eastAsia" w:ascii="仿宋" w:hAnsi="仿宋" w:eastAsia="仿宋" w:cs="仿宋"/>
          <w:sz w:val="32"/>
          <w:szCs w:val="32"/>
          <w:lang w:val="en-US" w:eastAsia="zh-CN"/>
        </w:rPr>
        <w:t xml:space="preserve">     </w:t>
      </w:r>
      <w:r>
        <w:rPr>
          <w:rFonts w:hint="eastAsia" w:ascii="仿宋" w:hAnsi="仿宋" w:eastAsia="仿宋" w:cs="仿宋"/>
          <w:b/>
          <w:bCs/>
          <w:color w:val="auto"/>
          <w:sz w:val="32"/>
          <w:szCs w:val="32"/>
          <w:lang w:val="en-US" w:eastAsia="zh-CN"/>
        </w:rPr>
        <w:t>(5)为做好属地理赔服务工作，供应商应提供在衢州地区范围内服务机构任职、不少于3人的理赔员工证明资料。注：需提供近6个月社保缴纳证明或任命/任职文件。（无近6个月社保缴纳证明或任命/任职文件的也可提供：</w:t>
      </w:r>
      <w:r>
        <w:rPr>
          <w:rFonts w:hint="default" w:ascii="Calibri" w:hAnsi="Calibri" w:eastAsia="仿宋" w:cs="Calibri"/>
          <w:b/>
          <w:bCs/>
          <w:color w:val="auto"/>
          <w:sz w:val="28"/>
          <w:szCs w:val="28"/>
          <w:lang w:val="en-US" w:eastAsia="zh-CN"/>
        </w:rPr>
        <w:t>①</w:t>
      </w:r>
      <w:r>
        <w:rPr>
          <w:rFonts w:hint="eastAsia" w:ascii="仿宋" w:hAnsi="仿宋" w:eastAsia="仿宋" w:cs="仿宋"/>
          <w:b/>
          <w:bCs/>
          <w:color w:val="auto"/>
          <w:sz w:val="32"/>
          <w:szCs w:val="32"/>
          <w:lang w:val="en-US" w:eastAsia="zh-CN"/>
        </w:rPr>
        <w:t>总机构认证的花名册或证明；</w:t>
      </w:r>
      <w:r>
        <w:rPr>
          <w:rFonts w:hint="eastAsia" w:ascii="微软雅黑" w:hAnsi="微软雅黑" w:eastAsia="微软雅黑" w:cs="微软雅黑"/>
          <w:b/>
          <w:bCs/>
          <w:color w:val="auto"/>
          <w:sz w:val="32"/>
          <w:szCs w:val="32"/>
          <w:lang w:val="en-US" w:eastAsia="zh-CN"/>
        </w:rPr>
        <w:t>②</w:t>
      </w:r>
      <w:r>
        <w:rPr>
          <w:rFonts w:hint="eastAsia" w:ascii="仿宋" w:hAnsi="仿宋" w:eastAsia="仿宋" w:cs="仿宋"/>
          <w:b/>
          <w:bCs/>
          <w:color w:val="auto"/>
          <w:sz w:val="32"/>
          <w:szCs w:val="32"/>
          <w:lang w:val="en-US" w:eastAsia="zh-CN"/>
        </w:rPr>
        <w:t>供应商人力系统/系统通讯录可查的人员名单截图，并列明查询网址，</w:t>
      </w:r>
      <w:r>
        <w:rPr>
          <w:rFonts w:hint="default" w:ascii="Calibri" w:hAnsi="Calibri" w:eastAsia="仿宋" w:cs="Calibri"/>
          <w:b/>
          <w:bCs/>
          <w:color w:val="auto"/>
          <w:sz w:val="28"/>
          <w:szCs w:val="28"/>
          <w:lang w:val="en-US" w:eastAsia="zh-CN"/>
        </w:rPr>
        <w:t>①</w:t>
      </w:r>
      <w:r>
        <w:rPr>
          <w:rFonts w:hint="eastAsia" w:ascii="微软雅黑" w:hAnsi="微软雅黑" w:eastAsia="微软雅黑" w:cs="微软雅黑"/>
          <w:b/>
          <w:bCs/>
          <w:color w:val="auto"/>
          <w:sz w:val="32"/>
          <w:szCs w:val="32"/>
          <w:lang w:val="en-US" w:eastAsia="zh-CN"/>
        </w:rPr>
        <w:t>②</w:t>
      </w:r>
      <w:r>
        <w:rPr>
          <w:rFonts w:hint="eastAsia" w:ascii="仿宋" w:hAnsi="仿宋" w:eastAsia="仿宋" w:cs="仿宋"/>
          <w:b/>
          <w:bCs/>
          <w:color w:val="auto"/>
          <w:sz w:val="32"/>
          <w:szCs w:val="32"/>
          <w:lang w:val="en-US" w:eastAsia="zh-CN"/>
        </w:rPr>
        <w:t>二选一即可）。</w:t>
      </w:r>
    </w:p>
    <w:p w14:paraId="43EF2AEF">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3" w:firstLineChars="200"/>
        <w:textAlignment w:val="auto"/>
        <w:rPr>
          <w:rFonts w:hint="default" w:ascii="仿宋" w:hAnsi="仿宋" w:eastAsia="仿宋" w:cs="仿宋"/>
          <w:b/>
          <w:bCs/>
          <w:color w:val="auto"/>
          <w:sz w:val="32"/>
          <w:szCs w:val="32"/>
          <w:lang w:val="en-US" w:eastAsia="zh-CN"/>
        </w:rPr>
      </w:pPr>
      <w:r>
        <w:rPr>
          <w:rFonts w:hint="eastAsia" w:ascii="仿宋" w:hAnsi="仿宋" w:eastAsia="仿宋" w:cs="仿宋"/>
          <w:b/>
          <w:bCs/>
          <w:color w:val="auto"/>
          <w:sz w:val="32"/>
          <w:szCs w:val="32"/>
          <w:lang w:val="en-US" w:eastAsia="zh-CN"/>
        </w:rPr>
        <w:t>说明：证明材料需真实有效，发现违规、违法或弄虚作假行为将取消投标资格并列入黑名单。</w:t>
      </w:r>
    </w:p>
    <w:p w14:paraId="0653AF8E">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建筑工程安全生产责任保险、农民工工资保证保险（保函）、完工履约保证保险（保函）合计保费金额采取最低报价原则确定成交单位。若出现报价相同的，则由我公司评审组组织评审，依据企业背景、资信、业绩情况等综合考虑选取成交单位。</w:t>
      </w:r>
    </w:p>
    <w:p w14:paraId="5E97BA9E">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四、请各单位将报价单原件(需加盖公章)、营业执照复印件（需盖公章）以及报价说明当中的各资格证明（需盖公章）文件于上传至系统，无上传、上传不完整、无盖公章则报价无效。</w:t>
      </w:r>
    </w:p>
    <w:p w14:paraId="7D28F8C4">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lang w:val="en-US" w:eastAsia="zh-CN"/>
        </w:rPr>
      </w:pPr>
    </w:p>
    <w:p w14:paraId="71DD66CD">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联系人：江泉武</w:t>
      </w:r>
    </w:p>
    <w:p w14:paraId="07D9F18E">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ascii="仿宋" w:hAnsi="仿宋" w:eastAsia="仿宋" w:cs="仿宋"/>
          <w:sz w:val="32"/>
          <w:szCs w:val="32"/>
          <w:lang w:val="en-US" w:eastAsia="zh-CN"/>
        </w:rPr>
      </w:pPr>
    </w:p>
    <w:p w14:paraId="040136B0">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eastAsiaTheme="minorEastAsia"/>
          <w:sz w:val="24"/>
          <w:szCs w:val="24"/>
          <w:lang w:val="en-US" w:eastAsia="zh-CN"/>
        </w:rPr>
      </w:pPr>
      <w:r>
        <w:rPr>
          <w:rFonts w:hint="eastAsia" w:ascii="仿宋" w:hAnsi="仿宋" w:eastAsia="仿宋" w:cs="仿宋"/>
          <w:sz w:val="32"/>
          <w:szCs w:val="32"/>
          <w:lang w:val="en-US" w:eastAsia="zh-CN"/>
        </w:rPr>
        <w:t>联系</w:t>
      </w:r>
      <w:bookmarkStart w:id="1" w:name="_GoBack"/>
      <w:bookmarkEnd w:id="1"/>
      <w:r>
        <w:rPr>
          <w:rFonts w:hint="eastAsia" w:ascii="仿宋" w:hAnsi="仿宋" w:eastAsia="仿宋" w:cs="仿宋"/>
          <w:sz w:val="32"/>
          <w:szCs w:val="32"/>
          <w:lang w:val="en-US" w:eastAsia="zh-CN"/>
        </w:rPr>
        <w:t>电话：15257009810</w:t>
      </w:r>
    </w:p>
    <w:p w14:paraId="3F98F6F5">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lang w:val="en-US" w:eastAsia="zh-CN"/>
        </w:rPr>
      </w:pPr>
    </w:p>
    <w:p w14:paraId="62B1A47B">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righ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开化县国控工程管理有限公司</w:t>
      </w:r>
    </w:p>
    <w:p w14:paraId="5D2F0924">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righ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2026年 10 月12 日</w:t>
      </w:r>
    </w:p>
    <w:sectPr>
      <w:pgSz w:w="12240" w:h="15840"/>
      <w:pgMar w:top="1440" w:right="1800" w:bottom="1440" w:left="1463" w:header="720" w:footer="720" w:gutter="0"/>
      <w:lnNumType w:countBy="0" w:distance="36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swiss"/>
    <w:pitch w:val="default"/>
    <w:sig w:usb0="E0000AFF" w:usb1="00007843" w:usb2="00000001" w:usb3="00000000" w:csb0="400001BF" w:csb1="DFF7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0AFF" w:usb1="00007843" w:usb2="00000001" w:usb3="00000000" w:csb0="400001BF" w:csb1="DFF7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PMingLiU">
    <w:panose1 w:val="02020500000000000000"/>
    <w:charset w:val="88"/>
    <w:family w:val="roman"/>
    <w:pitch w:val="default"/>
    <w:sig w:usb0="A00002FF" w:usb1="28CFFCFA" w:usb2="00000016" w:usb3="00000000" w:csb0="00100001"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42DC3B7"/>
    <w:multiLevelType w:val="singleLevel"/>
    <w:tmpl w:val="742DC3B7"/>
    <w:lvl w:ilvl="0" w:tentative="0">
      <w:start w:val="1"/>
      <w:numFmt w:val="bullet"/>
      <w:lvlText w:val=""/>
      <w:lvlJc w:val="left"/>
      <w:pPr>
        <w:ind w:left="42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667D1AE3"/>
    <w:rsid w:val="05292583"/>
    <w:rsid w:val="0D3A1F53"/>
    <w:rsid w:val="0E9A3896"/>
    <w:rsid w:val="0EC266A4"/>
    <w:rsid w:val="0F476539"/>
    <w:rsid w:val="0F67724C"/>
    <w:rsid w:val="13140A84"/>
    <w:rsid w:val="13C20D88"/>
    <w:rsid w:val="14897C20"/>
    <w:rsid w:val="15A824D8"/>
    <w:rsid w:val="19734DB0"/>
    <w:rsid w:val="1BB573F5"/>
    <w:rsid w:val="1CAB1905"/>
    <w:rsid w:val="1E5E1F0D"/>
    <w:rsid w:val="1F601E24"/>
    <w:rsid w:val="23CD6B9A"/>
    <w:rsid w:val="268636FB"/>
    <w:rsid w:val="2D070EAE"/>
    <w:rsid w:val="2E3F51C4"/>
    <w:rsid w:val="30470FC3"/>
    <w:rsid w:val="30601421"/>
    <w:rsid w:val="32292413"/>
    <w:rsid w:val="32CE0963"/>
    <w:rsid w:val="33E207D7"/>
    <w:rsid w:val="345A6A47"/>
    <w:rsid w:val="35E51283"/>
    <w:rsid w:val="3B8E32E7"/>
    <w:rsid w:val="468A798E"/>
    <w:rsid w:val="47C960B5"/>
    <w:rsid w:val="491D1B81"/>
    <w:rsid w:val="4C6F0F12"/>
    <w:rsid w:val="4F5028D0"/>
    <w:rsid w:val="522804D5"/>
    <w:rsid w:val="55F178DE"/>
    <w:rsid w:val="59CE6C11"/>
    <w:rsid w:val="5F3A0F0C"/>
    <w:rsid w:val="5F9C0161"/>
    <w:rsid w:val="63434E46"/>
    <w:rsid w:val="64117BB2"/>
    <w:rsid w:val="667D1AE3"/>
    <w:rsid w:val="677E1BB2"/>
    <w:rsid w:val="69624A44"/>
    <w:rsid w:val="69676DA1"/>
    <w:rsid w:val="6D89482E"/>
    <w:rsid w:val="6DC81DD9"/>
    <w:rsid w:val="6F4B0D22"/>
    <w:rsid w:val="72C604F7"/>
    <w:rsid w:val="77066CB1"/>
    <w:rsid w:val="782A3DBC"/>
    <w:rsid w:val="79696968"/>
    <w:rsid w:val="7A5073DE"/>
    <w:rsid w:val="7B0C28C9"/>
    <w:rsid w:val="7C6C2657"/>
    <w:rsid w:val="7D471493"/>
    <w:rsid w:val="7FE26D2A"/>
    <w:rsid w:val="7FF560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both"/>
    </w:pPr>
    <w:rPr>
      <w:rFonts w:ascii="Times New Roman" w:hAnsi="Times New Roman" w:eastAsia="宋体" w:cs="Times New Roman"/>
      <w:kern w:val="2"/>
      <w:sz w:val="21"/>
    </w:rPr>
  </w:style>
  <w:style w:type="paragraph" w:styleId="2">
    <w:name w:val="heading 1"/>
    <w:basedOn w:val="1"/>
    <w:next w:val="1"/>
    <w:qFormat/>
    <w:uiPriority w:val="0"/>
    <w:pPr>
      <w:keepNext/>
      <w:keepLines/>
      <w:widowControl/>
      <w:spacing w:before="340" w:after="330" w:line="578" w:lineRule="auto"/>
      <w:jc w:val="left"/>
      <w:outlineLvl w:val="0"/>
    </w:pPr>
    <w:rPr>
      <w:rFonts w:ascii="Arial" w:hAnsi="Arial" w:eastAsia="PMingLiU"/>
      <w:b/>
      <w:bCs/>
      <w:kern w:val="44"/>
      <w:sz w:val="44"/>
      <w:szCs w:val="44"/>
      <w:lang w:val="en-GB" w:eastAsia="en-GB"/>
    </w:rPr>
  </w:style>
  <w:style w:type="paragraph" w:styleId="3">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Body Text"/>
    <w:basedOn w:val="1"/>
    <w:next w:val="5"/>
    <w:qFormat/>
    <w:uiPriority w:val="0"/>
    <w:pPr>
      <w:jc w:val="center"/>
    </w:pPr>
    <w:rPr>
      <w:rFonts w:ascii="宋体" w:hAnsi="宋体"/>
      <w:sz w:val="44"/>
      <w:szCs w:val="20"/>
    </w:rPr>
  </w:style>
  <w:style w:type="paragraph" w:styleId="5">
    <w:name w:val="Body Text First Indent"/>
    <w:basedOn w:val="4"/>
    <w:next w:val="6"/>
    <w:qFormat/>
    <w:uiPriority w:val="0"/>
    <w:pPr>
      <w:spacing w:after="120"/>
      <w:ind w:firstLine="420" w:firstLineChars="100"/>
    </w:pPr>
  </w:style>
  <w:style w:type="paragraph" w:styleId="6">
    <w:name w:val="toc 6"/>
    <w:basedOn w:val="1"/>
    <w:next w:val="1"/>
    <w:unhideWhenUsed/>
    <w:qFormat/>
    <w:uiPriority w:val="0"/>
    <w:pPr>
      <w:ind w:left="2100" w:leftChars="1000"/>
    </w:pPr>
    <w:rPr>
      <w:rFonts w:ascii="Calibri" w:hAnsi="Calibri"/>
      <w:szCs w:val="22"/>
    </w:rPr>
  </w:style>
  <w:style w:type="paragraph" w:styleId="7">
    <w:name w:val="Normal (Web)"/>
    <w:basedOn w:val="1"/>
    <w:qFormat/>
    <w:uiPriority w:val="0"/>
    <w:pPr>
      <w:spacing w:before="0" w:beforeAutospacing="1" w:after="0" w:afterAutospacing="1"/>
      <w:ind w:left="0" w:right="0"/>
      <w:jc w:val="left"/>
    </w:pPr>
    <w:rPr>
      <w:kern w:val="0"/>
      <w:sz w:val="24"/>
      <w:lang w:val="en-US" w:eastAsia="zh-CN"/>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0"/>
    <w:rPr>
      <w:b/>
    </w:rPr>
  </w:style>
  <w:style w:type="character" w:styleId="12">
    <w:name w:val="Hyperlink"/>
    <w:basedOn w:val="10"/>
    <w:qFormat/>
    <w:uiPriority w:val="0"/>
    <w:rPr>
      <w:color w:val="0000FF"/>
      <w:u w:val="single"/>
    </w:rPr>
  </w:style>
  <w:style w:type="table" w:customStyle="1" w:styleId="13">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2382</Words>
  <Characters>2570</Characters>
  <Lines>0</Lines>
  <Paragraphs>0</Paragraphs>
  <TotalTime>11</TotalTime>
  <ScaleCrop>false</ScaleCrop>
  <LinksUpToDate>false</LinksUpToDate>
  <CharactersWithSpaces>2582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2024-11-14T08:37:00Z</dcterms:created>
  <dc:creator>Admin</dc:creator>
  <cp:lastModifiedBy>厌倦</cp:lastModifiedBy>
  <dcterms:modified xsi:type="dcterms:W3CDTF">2026-10-12T06:21:19Z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7BA35F60EAE04E9698B3DADB5C918397_13</vt:lpwstr>
  </property>
  <property fmtid="{D5CDD505-2E9C-101B-9397-08002B2CF9AE}" pid="4" name="KSOTemplateDocerSaveRecord">
    <vt:lpwstr>eyJoZGlkIjoiYTliMGZkMTI0YzkxNjg4OGZjMWZkMjNjMmZmYzAzN2IiLCJ1c2VySWQiOiI4NjE5MDc2OTEifQ==</vt:lpwstr>
  </property>
</Properties>
</file>